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6F11CD" w14:textId="77777777" w:rsidR="00C055BC" w:rsidRPr="00853D60" w:rsidRDefault="00853D60">
      <w:pPr>
        <w:pStyle w:val="Heading1"/>
        <w:spacing w:before="240" w:after="240" w:line="480" w:lineRule="auto"/>
        <w:contextualSpacing/>
        <w:rPr>
          <w:rFonts w:ascii="Times New Roman" w:hAnsi="Times New Roman" w:cs="Times New Roman"/>
          <w:color w:val="000000"/>
          <w:sz w:val="24"/>
          <w:szCs w:val="24"/>
        </w:rPr>
      </w:pPr>
      <w:r w:rsidRPr="00853D60">
        <w:rPr>
          <w:rFonts w:ascii="Times New Roman" w:hAnsi="Times New Roman" w:cs="Times New Roman"/>
          <w:b/>
          <w:bCs/>
          <w:color w:val="000000"/>
          <w:sz w:val="24"/>
          <w:szCs w:val="24"/>
        </w:rPr>
        <w:t>Supplementary Figure</w:t>
      </w:r>
    </w:p>
    <w:p w14:paraId="1C0A8F49" w14:textId="77777777" w:rsidR="00C055BC" w:rsidRPr="00853D60" w:rsidRDefault="00853D60">
      <w:pPr>
        <w:adjustRightInd w:val="0"/>
        <w:snapToGrid w:val="0"/>
        <w:spacing w:line="480" w:lineRule="auto"/>
        <w:rPr>
          <w:rFonts w:ascii="Times New Roman" w:hAnsi="Times New Roman" w:cs="Times New Roman"/>
          <w:color w:val="000000"/>
          <w:sz w:val="20"/>
          <w:szCs w:val="20"/>
        </w:rPr>
      </w:pPr>
      <w:r w:rsidRPr="00853D60">
        <w:rPr>
          <w:rFonts w:ascii="Times New Roman" w:hAnsi="Times New Roman" w:cs="Times New Roman"/>
          <w:color w:val="000000"/>
          <w:sz w:val="20"/>
          <w:szCs w:val="20"/>
        </w:rPr>
        <w:drawing>
          <wp:inline distT="0" distB="0" distL="0" distR="0" wp14:anchorId="439D3274" wp14:editId="00A55234">
            <wp:extent cx="5729605" cy="2400300"/>
            <wp:effectExtent l="0" t="0" r="10795" b="0"/>
            <wp:docPr id="1040" name="图片 9" descr="E:/GBD/文章/修稿-1.0/修稿-1.0/Figure S1.tifFigure S1"/>
            <wp:cNvGraphicFramePr/>
            <a:graphic xmlns:a="http://schemas.openxmlformats.org/drawingml/2006/main">
              <a:graphicData uri="http://schemas.openxmlformats.org/drawingml/2006/picture">
                <pic:pic xmlns:pic="http://schemas.openxmlformats.org/drawingml/2006/picture">
                  <pic:nvPicPr>
                    <pic:cNvPr id="1040" name="图片 9" descr="E:/GBD/文章/修稿-1.0/修稿-1.0/Figure S1.tifFigure S1"/>
                    <pic:cNvPicPr/>
                  </pic:nvPicPr>
                  <pic:blipFill>
                    <a:blip r:embed="rId7"/>
                    <a:srcRect t="39" b="39"/>
                    <a:stretch>
                      <a:fillRect/>
                    </a:stretch>
                  </pic:blipFill>
                  <pic:spPr>
                    <a:xfrm>
                      <a:off x="0" y="0"/>
                      <a:ext cx="5729605" cy="2400300"/>
                    </a:xfrm>
                    <a:prstGeom prst="rect">
                      <a:avLst/>
                    </a:prstGeom>
                    <a:ln>
                      <a:noFill/>
                    </a:ln>
                  </pic:spPr>
                </pic:pic>
              </a:graphicData>
            </a:graphic>
          </wp:inline>
        </w:drawing>
      </w:r>
    </w:p>
    <w:p w14:paraId="5C27A4A1" w14:textId="77777777" w:rsidR="00C055BC" w:rsidRPr="00853D60" w:rsidRDefault="00853D60">
      <w:pPr>
        <w:adjustRightInd w:val="0"/>
        <w:snapToGrid w:val="0"/>
        <w:spacing w:line="480" w:lineRule="auto"/>
        <w:rPr>
          <w:rFonts w:ascii="Times New Roman" w:hAnsi="Times New Roman" w:cs="Times New Roman"/>
          <w:color w:val="000000"/>
          <w:sz w:val="20"/>
          <w:szCs w:val="20"/>
        </w:rPr>
      </w:pPr>
      <w:r w:rsidRPr="00853D60">
        <w:rPr>
          <w:rFonts w:ascii="Times New Roman" w:hAnsi="Times New Roman" w:cs="Times New Roman"/>
          <w:b/>
          <w:bCs/>
          <w:color w:val="000000"/>
          <w:sz w:val="20"/>
          <w:szCs w:val="20"/>
        </w:rPr>
        <w:t xml:space="preserve">Figure S1. </w:t>
      </w:r>
      <w:r w:rsidRPr="00853D60">
        <w:rPr>
          <w:rFonts w:ascii="Times New Roman" w:hAnsi="Times New Roman" w:cs="Times New Roman"/>
          <w:color w:val="000000"/>
          <w:sz w:val="20"/>
          <w:szCs w:val="20"/>
        </w:rPr>
        <w:t xml:space="preserve">Forest plot showing the causal effects of modifiable lifestyle factors on significant blood biomarkers. Statistically significant results are presented in bold typeface. SNP, single nucleotide </w:t>
      </w:r>
      <w:r w:rsidRPr="00853D60">
        <w:rPr>
          <w:rFonts w:ascii="Times New Roman" w:hAnsi="Times New Roman" w:cs="Times New Roman"/>
          <w:color w:val="000000"/>
          <w:sz w:val="20"/>
          <w:szCs w:val="20"/>
        </w:rPr>
        <w:t>polymorphisms; OR, Odds Ratio; BETA, beta-coefficient; HbA1c, glycated hemoglobin; BMI, Body mass index; FDR, false discovery rate.</w:t>
      </w:r>
    </w:p>
    <w:p w14:paraId="77E3AEC5" w14:textId="77777777" w:rsidR="00C055BC" w:rsidRPr="00853D60" w:rsidRDefault="00853D60">
      <w:pPr>
        <w:adjustRightInd w:val="0"/>
        <w:snapToGrid w:val="0"/>
        <w:spacing w:line="480" w:lineRule="auto"/>
        <w:rPr>
          <w:rFonts w:ascii="Times New Roman" w:hAnsi="Times New Roman" w:cs="Times New Roman"/>
          <w:color w:val="000000"/>
          <w:sz w:val="20"/>
          <w:szCs w:val="20"/>
        </w:rPr>
      </w:pPr>
      <w:r w:rsidRPr="00853D60">
        <w:rPr>
          <w:rFonts w:ascii="Times New Roman" w:hAnsi="Times New Roman" w:cs="Times New Roman"/>
          <w:color w:val="000000"/>
          <w:sz w:val="20"/>
          <w:szCs w:val="20"/>
        </w:rPr>
        <w:drawing>
          <wp:inline distT="0" distB="0" distL="0" distR="0" wp14:anchorId="614F41FF" wp14:editId="38A3BAD1">
            <wp:extent cx="5729605" cy="3034030"/>
            <wp:effectExtent l="0" t="0" r="10795" b="1270"/>
            <wp:docPr id="1041" name="图片 6" descr="E:/GBD/文章/修稿-1.0/修稿-1.0/Figure S2XZ.tifFigure S2XZ"/>
            <wp:cNvGraphicFramePr/>
            <a:graphic xmlns:a="http://schemas.openxmlformats.org/drawingml/2006/main">
              <a:graphicData uri="http://schemas.openxmlformats.org/drawingml/2006/picture">
                <pic:pic xmlns:pic="http://schemas.openxmlformats.org/drawingml/2006/picture">
                  <pic:nvPicPr>
                    <pic:cNvPr id="1041" name="图片 6" descr="E:/GBD/文章/修稿-1.0/修稿-1.0/Figure S2XZ.tifFigure S2XZ"/>
                    <pic:cNvPicPr/>
                  </pic:nvPicPr>
                  <pic:blipFill>
                    <a:blip r:embed="rId8"/>
                    <a:srcRect t="28" b="28"/>
                    <a:stretch>
                      <a:fillRect/>
                    </a:stretch>
                  </pic:blipFill>
                  <pic:spPr>
                    <a:xfrm>
                      <a:off x="0" y="0"/>
                      <a:ext cx="5729605" cy="3034030"/>
                    </a:xfrm>
                    <a:prstGeom prst="rect">
                      <a:avLst/>
                    </a:prstGeom>
                    <a:ln>
                      <a:noFill/>
                    </a:ln>
                  </pic:spPr>
                </pic:pic>
              </a:graphicData>
            </a:graphic>
          </wp:inline>
        </w:drawing>
      </w:r>
    </w:p>
    <w:p w14:paraId="74B4A630" w14:textId="77777777" w:rsidR="00C055BC" w:rsidRPr="00853D60" w:rsidRDefault="00853D60">
      <w:pPr>
        <w:adjustRightInd w:val="0"/>
        <w:snapToGrid w:val="0"/>
        <w:spacing w:line="480" w:lineRule="auto"/>
        <w:rPr>
          <w:rFonts w:ascii="Times New Roman" w:hAnsi="Times New Roman" w:cs="Times New Roman"/>
          <w:color w:val="000000"/>
          <w:sz w:val="20"/>
          <w:szCs w:val="20"/>
        </w:rPr>
        <w:sectPr w:rsidR="00C055BC" w:rsidRPr="00853D60">
          <w:headerReference w:type="default" r:id="rId9"/>
          <w:footerReference w:type="even" r:id="rId10"/>
          <w:footerReference w:type="default" r:id="rId11"/>
          <w:footerReference w:type="first" r:id="rId12"/>
          <w:pgSz w:w="11906" w:h="16838"/>
          <w:pgMar w:top="1440" w:right="1440" w:bottom="1440" w:left="1440" w:header="851" w:footer="992" w:gutter="0"/>
          <w:lnNumType w:countBy="1" w:restart="continuous"/>
          <w:cols w:space="425"/>
          <w:docGrid w:linePitch="312"/>
        </w:sectPr>
      </w:pPr>
      <w:r w:rsidRPr="00853D60">
        <w:rPr>
          <w:rFonts w:ascii="Times New Roman" w:hAnsi="Times New Roman" w:cs="Times New Roman"/>
          <w:b/>
          <w:bCs/>
          <w:color w:val="000000"/>
          <w:sz w:val="20"/>
          <w:szCs w:val="20"/>
        </w:rPr>
        <w:t xml:space="preserve">Figure S2. </w:t>
      </w:r>
      <w:r w:rsidRPr="00853D60">
        <w:rPr>
          <w:rFonts w:ascii="Times New Roman" w:hAnsi="Times New Roman" w:cs="Times New Roman"/>
          <w:color w:val="000000"/>
          <w:sz w:val="20"/>
          <w:szCs w:val="20"/>
        </w:rPr>
        <w:t>Mediation analysis of blood biomarkers in causalities between modifiable lifestyle factors and female infertility by Two-Step MR. A. Mediation analysis of HbA1c on waist-to-hip ratio adjusted for BMI and female infertility; B. Mediation analysis of triglycerides on waist-to-hip ratio adjusted for BMI and female infertility; C. Mediation analysis of triglycerides on educational attainment and female infertility. MR, Mendelian Randomization; IVs, instrumental variables; BMI, Body mass index; HbA1c, glycated h</w:t>
      </w:r>
      <w:r w:rsidRPr="00853D60">
        <w:rPr>
          <w:rFonts w:ascii="Times New Roman" w:hAnsi="Times New Roman" w:cs="Times New Roman"/>
          <w:color w:val="000000"/>
          <w:sz w:val="20"/>
          <w:szCs w:val="20"/>
        </w:rPr>
        <w:t>emoglobin.</w:t>
      </w:r>
    </w:p>
    <w:p w14:paraId="51897F3A" w14:textId="77777777" w:rsidR="004B1FD0" w:rsidRPr="00853D60" w:rsidRDefault="004B1FD0" w:rsidP="004B1FD0">
      <w:pPr>
        <w:widowControl/>
        <w:spacing w:line="276" w:lineRule="auto"/>
        <w:jc w:val="left"/>
        <w:rPr>
          <w:rFonts w:ascii="Times New Roman" w:hAnsi="Times New Roman" w:cs="Times New Roman"/>
          <w:b/>
          <w:color w:val="000000"/>
          <w:kern w:val="0"/>
          <w:sz w:val="20"/>
          <w:szCs w:val="20"/>
        </w:rPr>
      </w:pPr>
      <w:r w:rsidRPr="00853D60">
        <w:rPr>
          <w:rFonts w:ascii="Times New Roman" w:eastAsia="Times New Roman" w:hAnsi="Times New Roman" w:cs="Times New Roman"/>
          <w:b/>
          <w:color w:val="000000"/>
          <w:kern w:val="0"/>
          <w:sz w:val="20"/>
          <w:szCs w:val="20"/>
          <w:lang w:eastAsia="en-GB"/>
        </w:rPr>
        <w:lastRenderedPageBreak/>
        <w:t>Supplementary Material</w:t>
      </w:r>
    </w:p>
    <w:p w14:paraId="22E2A96A" w14:textId="77777777" w:rsidR="004B1FD0" w:rsidRPr="00853D60" w:rsidRDefault="004B1FD0" w:rsidP="004B1FD0">
      <w:pPr>
        <w:widowControl/>
        <w:spacing w:line="276" w:lineRule="auto"/>
        <w:jc w:val="left"/>
        <w:rPr>
          <w:rFonts w:ascii="Times New Roman" w:eastAsia="Times New Roman" w:hAnsi="Times New Roman" w:cs="Times New Roman"/>
          <w:b/>
          <w:color w:val="000000"/>
          <w:kern w:val="0"/>
          <w:sz w:val="20"/>
          <w:szCs w:val="20"/>
          <w:lang w:eastAsia="en-GB"/>
        </w:rPr>
      </w:pPr>
    </w:p>
    <w:p w14:paraId="6C8A1D13" w14:textId="77777777" w:rsidR="004B1FD0" w:rsidRPr="00853D60" w:rsidRDefault="004B1FD0" w:rsidP="004B1FD0">
      <w:pPr>
        <w:widowControl/>
        <w:spacing w:line="276" w:lineRule="auto"/>
        <w:jc w:val="left"/>
        <w:rPr>
          <w:rFonts w:ascii="Times New Roman" w:eastAsia="Times New Roman" w:hAnsi="Times New Roman" w:cs="Times New Roman"/>
          <w:b/>
          <w:color w:val="000000"/>
          <w:kern w:val="0"/>
          <w:sz w:val="20"/>
          <w:szCs w:val="20"/>
          <w:lang w:eastAsia="en-GB"/>
        </w:rPr>
      </w:pPr>
      <w:r w:rsidRPr="00853D60">
        <w:rPr>
          <w:rFonts w:ascii="Times New Roman" w:eastAsia="Times New Roman" w:hAnsi="Times New Roman" w:cs="Times New Roman"/>
          <w:b/>
          <w:color w:val="000000"/>
          <w:kern w:val="0"/>
          <w:sz w:val="20"/>
          <w:szCs w:val="20"/>
          <w:lang w:eastAsia="en-GB"/>
        </w:rPr>
        <w:t>STROBE-MR checklist of recommended items to address in reports of Mendelian randomization studies</w:t>
      </w:r>
      <w:r w:rsidRPr="00853D60">
        <w:rPr>
          <w:rFonts w:ascii="Times New Roman" w:eastAsia="Times New Roman" w:hAnsi="Times New Roman" w:cs="Times New Roman"/>
          <w:b/>
          <w:color w:val="000000"/>
          <w:kern w:val="0"/>
          <w:sz w:val="20"/>
          <w:szCs w:val="20"/>
          <w:lang w:eastAsia="en-GB"/>
        </w:rPr>
        <w:fldChar w:fldCharType="begin" w:fldLock="1"/>
      </w:r>
      <w:r w:rsidRPr="00853D60">
        <w:rPr>
          <w:rFonts w:ascii="Times New Roman" w:eastAsia="Times New Roman" w:hAnsi="Times New Roman" w:cs="Times New Roman"/>
          <w:b/>
          <w:color w:val="000000"/>
          <w:kern w:val="0"/>
          <w:sz w:val="20"/>
          <w:szCs w:val="20"/>
          <w:lang w:eastAsia="en-GB"/>
        </w:rPr>
        <w:instrText>ADDIN CSL_CITATION {"citationItems":[{"id":"ITEM-1","itemData":{"author":[{"dropping-particle":"","family":"Skrivankova","given":"V W","non-dropping-particle":"","parse-names":false,"suffix":""},{"dropping-particle":"","family":"Richmond","given":"R C","non-dropping-particle":"","parse-names":false,"suffix":""},{"dropping-particle":"","family":"Woolf","given":"B A R","non-dropping-particle":"","parse-names":false,"suffix":""},{"dropping-particle":"","family":"Yarmolinsky","given":"J","non-dropping-particle":"","parse-names":false,"suffix":""},{"dropping-particle":"","family":"Davies","given":"N M","non-dropping-particle":"","parse-names":false,"suffix":""},{"dropping-particle":"","family":"Swanson","given":"S A","non-dropping-particle":"","parse-names":false,"suffix":""},{"dropping-particle":"","family":"VanderWeele","given":"T J","non-dropping-particle":"","parse-names":false,"suffix":""},{"dropping-particle":"","family":"Higgins","given":"J P H","non-dropping-particle":"","parse-names":false,"suffix":""},{"dropping-particle":"","family":"Timpson","given":"N J","non-dropping-particle":"","parse-names":false,"suffix":""},{"dropping-particle":"","family":"Dimou","given":"N","non-dropping-particle":"","parse-names":false,"suffix":""},{"dropping-particle":"","family":"Langenberg","given":"C","non-dropping-particle":"","parse-names":false,"suffix":""},{"dropping-particle":"","family":"Loder","given":"E W","non-dropping-particle":"","parse-names":false,"suffix":""},{"dropping-particle":"","family":"Golub","given":"R","non-dropping-particle":"","parse-names":false,"suffix":""},{"dropping-particle":"","family":"Gallo","given":"V","non-dropping-particle":"","parse-names":false,"suffix":""},{"dropping-particle":"","family":"Tybjaerg-Hansen","given":"A","non-dropping-particle":"","parse-names":false,"suffix":""},{"dropping-particle":"","family":"Davey Smith","given":"G","non-dropping-particle":"","parse-names":false,"suffix":""},{"dropping-particle":"","family":"Egger","given":"M","non-dropping-particle":"","parse-names":false,"suffix":""},{"dropping-particle":"","family":"Richards","given":"J B","non-dropping-particle":"","parse-names":false,"suffix":""}],"container-title":"JAMA","id":"ITEM-1","issued":{"date-parts":[["2021"]]},"page":"under review","title":"Strengthening the Reporting of Observational Studies in Epidemiology using Mendelian Randomization (STROBE-MR) Statement","type":"article-journal"},"uris":["http://www.mendeley.com/documents/?uuid=29dd9aa2-14fd-450b-83fb-4c6b74b75061"]}],"mendeley":{"formattedCitation":"&lt;sup&gt;1&lt;/sup&gt;","plainTextFormattedCitation":"1"},"properties":{"noteIndex":0},"schema":"https://github.com/citation-style-language/schema/raw/master/csl-citation.json"}</w:instrText>
      </w:r>
      <w:r w:rsidRPr="00853D60">
        <w:rPr>
          <w:rFonts w:ascii="Times New Roman" w:eastAsia="Times New Roman" w:hAnsi="Times New Roman" w:cs="Times New Roman"/>
          <w:b/>
          <w:color w:val="000000"/>
          <w:kern w:val="0"/>
          <w:sz w:val="20"/>
          <w:szCs w:val="20"/>
          <w:lang w:eastAsia="en-GB"/>
        </w:rPr>
        <w:fldChar w:fldCharType="separate"/>
      </w:r>
      <w:r w:rsidRPr="00853D60">
        <w:rPr>
          <w:rFonts w:ascii="Times New Roman" w:eastAsia="Times New Roman" w:hAnsi="Times New Roman" w:cs="Times New Roman"/>
          <w:color w:val="000000"/>
          <w:kern w:val="0"/>
          <w:sz w:val="20"/>
          <w:szCs w:val="20"/>
          <w:vertAlign w:val="superscript"/>
          <w:lang w:eastAsia="en-GB"/>
        </w:rPr>
        <w:t>1</w:t>
      </w:r>
      <w:r w:rsidRPr="00853D60">
        <w:rPr>
          <w:rFonts w:ascii="Times New Roman" w:eastAsia="Times New Roman" w:hAnsi="Times New Roman" w:cs="Times New Roman"/>
          <w:b/>
          <w:color w:val="000000"/>
          <w:kern w:val="0"/>
          <w:sz w:val="20"/>
          <w:szCs w:val="20"/>
          <w:lang w:eastAsia="en-GB"/>
        </w:rPr>
        <w:fldChar w:fldCharType="end"/>
      </w:r>
      <w:r w:rsidRPr="00853D60">
        <w:rPr>
          <w:rFonts w:ascii="Times New Roman" w:eastAsia="Times New Roman" w:hAnsi="Times New Roman" w:cs="Times New Roman"/>
          <w:b/>
          <w:color w:val="000000"/>
          <w:kern w:val="0"/>
          <w:sz w:val="20"/>
          <w:szCs w:val="20"/>
          <w:lang w:eastAsia="en-GB"/>
        </w:rPr>
        <w:t xml:space="preserve"> </w:t>
      </w:r>
      <w:r w:rsidRPr="00853D60">
        <w:rPr>
          <w:rFonts w:ascii="Times New Roman" w:eastAsia="Times New Roman" w:hAnsi="Times New Roman" w:cs="Times New Roman"/>
          <w:b/>
          <w:color w:val="000000"/>
          <w:kern w:val="0"/>
          <w:sz w:val="20"/>
          <w:szCs w:val="20"/>
          <w:lang w:eastAsia="en-GB"/>
        </w:rPr>
        <w:fldChar w:fldCharType="begin" w:fldLock="1"/>
      </w:r>
      <w:r w:rsidRPr="00853D60">
        <w:rPr>
          <w:rFonts w:ascii="Times New Roman" w:eastAsia="Times New Roman" w:hAnsi="Times New Roman" w:cs="Times New Roman"/>
          <w:b/>
          <w:color w:val="000000"/>
          <w:kern w:val="0"/>
          <w:sz w:val="20"/>
          <w:szCs w:val="20"/>
          <w:lang w:eastAsia="en-GB"/>
        </w:rPr>
        <w:instrText>ADDIN CSL_CITATION {"citationItems":[{"id":"ITEM-1","itemData":{"author":[{"dropping-particle":"","family":"Skrivankova","given":"Veronika W","non-dropping-particle":"","parse-names":false,"suffix":""},{"dropping-particle":"","family":"Richmond","given":"Rebecca C","non-dropping-particle":"","parse-names":false,"suffix":""},{"dropping-particle":"","family":"Woolf","given":"Benjamin A R","non-dropping-particle":"","parse-names":false,"suffix":""},{"dropping-particle":"","family":"Davies","given":"Neil M","non-dropping-particle":"","parse-names":false,"suffix":""},{"dropping-particle":"","family":"Swanson","given":"Sonja A","non-dropping-particle":"","parse-names":false,"suffix":""},{"dropping-particle":"","family":"VanderWeele","given":"Tyler J","non-dropping-particle":"","parse-names":false,"suffix":""},{"dropping-particle":"","family":"Timpson","given":"Nicholas J","non-dropping-particle":"","parse-names":false,"suffix":""},{"dropping-particle":"","family":"Higgins","given":"Julian P T","non-dropping-particle":"","parse-names":false,"suffix":""},{"dropping-particle":"","family":"Dimou","given":"Niki","non-dropping-particle":"","parse-names":false,"suffix":""},{"dropping-particle":"","family":"Langenberg","given":"Claudia","non-dropping-particle":"","parse-names":false,"suffix":""},{"dropping-particle":"","family":"Loder","given":"Elizabeth W","non-dropping-particle":"","parse-names":false,"suffix":""},{"dropping-particle":"","family":"Golub","given":"Robert M","non-dropping-particle":"","parse-names":false,"suffix":""},{"dropping-particle":"","family":"Egger","given":"Mathias","non-dropping-particle":"","parse-names":false,"suffix":""},{"dropping-particle":"","family":"Davey Smith","given":"George","non-dropping-particle":"","parse-names":false,"suffix":""},{"dropping-particle":"","family":"Richards","given":"J Brent","non-dropping-particle":"","parse-names":false,"suffix":""}],"container-title":"BMJ","id":"ITEM-1","issued":{"date-parts":[["2021"]]},"title":"Strengthening the Reporting of Observational Studies in Epidemiology using Mendelian Randomisation (STROBE-MR): Explanation and Elaboration","type":"article-journal","volume":"375:n2233"},"uris":["http://www.mendeley.com/documents/?uuid=af64eb33-5308-4d72-bd7e-6fe0d8fe3570"]}],"mendeley":{"formattedCitation":"&lt;sup&gt;2&lt;/sup&gt;","plainTextFormattedCitation":"2","previouslyFormattedCitation":"&lt;sup&gt;1&lt;/sup&gt;"},"properties":{"noteIndex":0},"schema":"https://github.com/citation-style-language/schema/raw/master/csl-citation.json"}</w:instrText>
      </w:r>
      <w:r w:rsidRPr="00853D60">
        <w:rPr>
          <w:rFonts w:ascii="Times New Roman" w:eastAsia="Times New Roman" w:hAnsi="Times New Roman" w:cs="Times New Roman"/>
          <w:b/>
          <w:color w:val="000000"/>
          <w:kern w:val="0"/>
          <w:sz w:val="20"/>
          <w:szCs w:val="20"/>
          <w:lang w:eastAsia="en-GB"/>
        </w:rPr>
        <w:fldChar w:fldCharType="separate"/>
      </w:r>
      <w:r w:rsidRPr="00853D60">
        <w:rPr>
          <w:rFonts w:ascii="Times New Roman" w:eastAsia="Times New Roman" w:hAnsi="Times New Roman" w:cs="Times New Roman"/>
          <w:color w:val="000000"/>
          <w:kern w:val="0"/>
          <w:sz w:val="20"/>
          <w:szCs w:val="20"/>
          <w:vertAlign w:val="superscript"/>
          <w:lang w:eastAsia="en-GB"/>
        </w:rPr>
        <w:t>2</w:t>
      </w:r>
      <w:r w:rsidRPr="00853D60">
        <w:rPr>
          <w:rFonts w:ascii="Times New Roman" w:eastAsia="Times New Roman" w:hAnsi="Times New Roman" w:cs="Times New Roman"/>
          <w:b/>
          <w:color w:val="000000"/>
          <w:kern w:val="0"/>
          <w:sz w:val="20"/>
          <w:szCs w:val="20"/>
          <w:lang w:eastAsia="en-GB"/>
        </w:rPr>
        <w:fldChar w:fldCharType="end"/>
      </w:r>
      <w:r w:rsidRPr="00853D60">
        <w:rPr>
          <w:rFonts w:ascii="Times New Roman" w:eastAsia="Times New Roman" w:hAnsi="Times New Roman" w:cs="Times New Roman"/>
          <w:b/>
          <w:color w:val="000000"/>
          <w:kern w:val="0"/>
          <w:sz w:val="20"/>
          <w:szCs w:val="20"/>
          <w:lang w:eastAsia="en-GB"/>
        </w:rPr>
        <w:t> </w:t>
      </w:r>
    </w:p>
    <w:p w14:paraId="098A4C61" w14:textId="77777777" w:rsidR="004B1FD0" w:rsidRPr="00853D60" w:rsidRDefault="004B1FD0" w:rsidP="004B1FD0">
      <w:pPr>
        <w:widowControl/>
        <w:spacing w:line="276" w:lineRule="auto"/>
        <w:jc w:val="left"/>
        <w:rPr>
          <w:rFonts w:ascii="Times New Roman" w:eastAsia="Times New Roman" w:hAnsi="Times New Roman" w:cs="Times New Roman"/>
          <w:b/>
          <w:color w:val="000000"/>
          <w:kern w:val="0"/>
          <w:sz w:val="20"/>
          <w:szCs w:val="20"/>
          <w:lang w:eastAsia="en-GB"/>
        </w:rPr>
      </w:pPr>
    </w:p>
    <w:tbl>
      <w:tblPr>
        <w:tblW w:w="14490" w:type="dxa"/>
        <w:tblLook w:val="04A0" w:firstRow="1" w:lastRow="0" w:firstColumn="1" w:lastColumn="0" w:noHBand="0" w:noVBand="1"/>
      </w:tblPr>
      <w:tblGrid>
        <w:gridCol w:w="587"/>
        <w:gridCol w:w="1810"/>
        <w:gridCol w:w="6498"/>
        <w:gridCol w:w="1427"/>
        <w:gridCol w:w="4168"/>
      </w:tblGrid>
      <w:tr w:rsidR="004B1FD0" w:rsidRPr="00853D60" w14:paraId="60FDE2D0" w14:textId="77777777" w:rsidTr="005336AB">
        <w:tc>
          <w:tcPr>
            <w:tcW w:w="587" w:type="dxa"/>
            <w:tcBorders>
              <w:top w:val="single" w:sz="4" w:space="0" w:color="auto"/>
              <w:bottom w:val="single" w:sz="6" w:space="0" w:color="7F7F7F"/>
            </w:tcBorders>
          </w:tcPr>
          <w:p w14:paraId="19A0DD10"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b/>
                <w:bCs/>
                <w:color w:val="000000"/>
                <w:kern w:val="0"/>
                <w:sz w:val="18"/>
                <w:szCs w:val="18"/>
                <w:lang w:eastAsia="en-US"/>
              </w:rPr>
            </w:pPr>
            <w:r w:rsidRPr="00853D60">
              <w:rPr>
                <w:rFonts w:ascii="Times New Roman" w:eastAsia="Cambria" w:hAnsi="Times New Roman" w:cs="Times New Roman"/>
                <w:b/>
                <w:bCs/>
                <w:color w:val="000000"/>
                <w:kern w:val="0"/>
                <w:sz w:val="18"/>
                <w:szCs w:val="18"/>
                <w:lang w:eastAsia="en-US"/>
              </w:rPr>
              <w:t>Item No.</w:t>
            </w:r>
          </w:p>
        </w:tc>
        <w:tc>
          <w:tcPr>
            <w:tcW w:w="1810" w:type="dxa"/>
            <w:tcBorders>
              <w:top w:val="single" w:sz="4" w:space="0" w:color="auto"/>
              <w:bottom w:val="single" w:sz="6" w:space="0" w:color="7F7F7F"/>
            </w:tcBorders>
          </w:tcPr>
          <w:p w14:paraId="4B4D6EA7"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b/>
                <w:bCs/>
                <w:color w:val="000000"/>
                <w:kern w:val="0"/>
                <w:sz w:val="18"/>
                <w:szCs w:val="18"/>
                <w:lang w:eastAsia="en-US"/>
              </w:rPr>
            </w:pPr>
            <w:r w:rsidRPr="00853D60">
              <w:rPr>
                <w:rFonts w:ascii="Times New Roman" w:eastAsia="Cambria" w:hAnsi="Times New Roman" w:cs="Times New Roman"/>
                <w:b/>
                <w:bCs/>
                <w:color w:val="000000"/>
                <w:kern w:val="0"/>
                <w:sz w:val="18"/>
                <w:szCs w:val="18"/>
                <w:lang w:eastAsia="en-US"/>
              </w:rPr>
              <w:t>Section</w:t>
            </w:r>
          </w:p>
        </w:tc>
        <w:tc>
          <w:tcPr>
            <w:tcW w:w="6498" w:type="dxa"/>
            <w:tcBorders>
              <w:top w:val="single" w:sz="4" w:space="0" w:color="auto"/>
              <w:bottom w:val="single" w:sz="6" w:space="0" w:color="7F7F7F"/>
            </w:tcBorders>
          </w:tcPr>
          <w:p w14:paraId="749ACD37"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b/>
                <w:bCs/>
                <w:color w:val="000000"/>
                <w:kern w:val="0"/>
                <w:sz w:val="18"/>
                <w:szCs w:val="18"/>
                <w:lang w:eastAsia="en-US"/>
              </w:rPr>
            </w:pPr>
            <w:r w:rsidRPr="00853D60">
              <w:rPr>
                <w:rFonts w:ascii="Times New Roman" w:eastAsia="Cambria" w:hAnsi="Times New Roman" w:cs="Times New Roman"/>
                <w:b/>
                <w:bCs/>
                <w:color w:val="000000"/>
                <w:kern w:val="0"/>
                <w:sz w:val="18"/>
                <w:szCs w:val="18"/>
                <w:lang w:eastAsia="en-US"/>
              </w:rPr>
              <w:t xml:space="preserve">Checklist item </w:t>
            </w:r>
          </w:p>
        </w:tc>
        <w:tc>
          <w:tcPr>
            <w:tcW w:w="1427" w:type="dxa"/>
            <w:tcBorders>
              <w:top w:val="single" w:sz="4" w:space="0" w:color="auto"/>
              <w:bottom w:val="single" w:sz="6" w:space="0" w:color="7F7F7F"/>
            </w:tcBorders>
          </w:tcPr>
          <w:p w14:paraId="71BF9AEF"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b/>
                <w:bCs/>
                <w:color w:val="000000"/>
                <w:kern w:val="0"/>
                <w:sz w:val="18"/>
                <w:szCs w:val="18"/>
                <w:lang w:eastAsia="en-US"/>
              </w:rPr>
            </w:pPr>
            <w:r w:rsidRPr="00853D60">
              <w:rPr>
                <w:rFonts w:ascii="Times New Roman" w:eastAsia="Cambria" w:hAnsi="Times New Roman" w:cs="Times New Roman"/>
                <w:b/>
                <w:bCs/>
                <w:color w:val="000000"/>
                <w:kern w:val="0"/>
                <w:sz w:val="18"/>
                <w:szCs w:val="18"/>
                <w:lang w:eastAsia="en-US"/>
              </w:rPr>
              <w:t>Page No.</w:t>
            </w:r>
          </w:p>
        </w:tc>
        <w:tc>
          <w:tcPr>
            <w:tcW w:w="4168" w:type="dxa"/>
            <w:tcBorders>
              <w:top w:val="single" w:sz="4" w:space="0" w:color="auto"/>
              <w:bottom w:val="single" w:sz="6" w:space="0" w:color="7F7F7F"/>
            </w:tcBorders>
          </w:tcPr>
          <w:p w14:paraId="5EA7A8A6"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b/>
                <w:bCs/>
                <w:color w:val="000000"/>
                <w:kern w:val="0"/>
                <w:sz w:val="18"/>
                <w:szCs w:val="18"/>
                <w:lang w:eastAsia="en-US"/>
              </w:rPr>
            </w:pPr>
            <w:r w:rsidRPr="00853D60">
              <w:rPr>
                <w:rFonts w:ascii="Times New Roman" w:eastAsia="Cambria" w:hAnsi="Times New Roman" w:cs="Times New Roman"/>
                <w:b/>
                <w:bCs/>
                <w:color w:val="000000"/>
                <w:kern w:val="0"/>
                <w:sz w:val="18"/>
                <w:szCs w:val="18"/>
                <w:lang w:eastAsia="en-US"/>
              </w:rPr>
              <w:t>Relevant text from manuscript</w:t>
            </w:r>
          </w:p>
        </w:tc>
      </w:tr>
      <w:tr w:rsidR="004B1FD0" w:rsidRPr="00853D60" w14:paraId="4AE95134" w14:textId="77777777" w:rsidTr="005336AB">
        <w:tc>
          <w:tcPr>
            <w:tcW w:w="587" w:type="dxa"/>
            <w:tcBorders>
              <w:top w:val="single" w:sz="6" w:space="0" w:color="7F7F7F"/>
              <w:bottom w:val="single" w:sz="6" w:space="0" w:color="7F7F7F"/>
            </w:tcBorders>
            <w:shd w:val="clear" w:color="auto" w:fill="EEEEEE"/>
          </w:tcPr>
          <w:p w14:paraId="06F31EB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w:t>
            </w:r>
          </w:p>
        </w:tc>
        <w:tc>
          <w:tcPr>
            <w:tcW w:w="1810" w:type="dxa"/>
            <w:tcBorders>
              <w:top w:val="single" w:sz="6" w:space="0" w:color="7F7F7F"/>
              <w:bottom w:val="single" w:sz="6" w:space="0" w:color="7F7F7F"/>
            </w:tcBorders>
            <w:shd w:val="clear" w:color="auto" w:fill="EEEEEE"/>
          </w:tcPr>
          <w:p w14:paraId="37EEA54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TITLE and ABSTRACT</w:t>
            </w:r>
          </w:p>
        </w:tc>
        <w:tc>
          <w:tcPr>
            <w:tcW w:w="6498" w:type="dxa"/>
            <w:tcBorders>
              <w:top w:val="single" w:sz="6" w:space="0" w:color="7F7F7F"/>
              <w:bottom w:val="single" w:sz="6" w:space="0" w:color="7F7F7F"/>
            </w:tcBorders>
            <w:shd w:val="clear" w:color="auto" w:fill="EEEEEE"/>
          </w:tcPr>
          <w:p w14:paraId="594686BA"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Indicate Mendelian randomization (MR) as the study’s design in the title and/or the abstract if that is a main purpose of the study</w:t>
            </w:r>
          </w:p>
        </w:tc>
        <w:tc>
          <w:tcPr>
            <w:tcW w:w="1427" w:type="dxa"/>
            <w:tcBorders>
              <w:top w:val="single" w:sz="6" w:space="0" w:color="7F7F7F"/>
              <w:bottom w:val="single" w:sz="6" w:space="0" w:color="7F7F7F"/>
            </w:tcBorders>
            <w:shd w:val="clear" w:color="auto" w:fill="EEEEEE"/>
          </w:tcPr>
          <w:p w14:paraId="01AB7ECB"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w:t>
            </w:r>
          </w:p>
        </w:tc>
        <w:tc>
          <w:tcPr>
            <w:tcW w:w="4168" w:type="dxa"/>
            <w:tcBorders>
              <w:top w:val="single" w:sz="6" w:space="0" w:color="7F7F7F"/>
              <w:bottom w:val="single" w:sz="6" w:space="0" w:color="7F7F7F"/>
            </w:tcBorders>
            <w:shd w:val="clear" w:color="auto" w:fill="EEEEEE"/>
          </w:tcPr>
          <w:p w14:paraId="2B2BD078"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Global Spatiotemporal Trends and Modifiable Risk Factors for Female Infertility: An Age-Period-Cohort Using Global Burden of Disease Study 2021 and Mendelian Randomization Analysis</w:t>
            </w:r>
          </w:p>
        </w:tc>
      </w:tr>
      <w:tr w:rsidR="004B1FD0" w:rsidRPr="00853D60" w14:paraId="4F0B5324" w14:textId="77777777" w:rsidTr="005336AB">
        <w:tc>
          <w:tcPr>
            <w:tcW w:w="587" w:type="dxa"/>
            <w:tcBorders>
              <w:top w:val="single" w:sz="6" w:space="0" w:color="7F7F7F"/>
            </w:tcBorders>
          </w:tcPr>
          <w:p w14:paraId="73DD1EEA"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p>
        </w:tc>
        <w:tc>
          <w:tcPr>
            <w:tcW w:w="1810" w:type="dxa"/>
            <w:tcBorders>
              <w:top w:val="single" w:sz="6" w:space="0" w:color="7F7F7F"/>
            </w:tcBorders>
          </w:tcPr>
          <w:p w14:paraId="04F7EDD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INTRODUCTION</w:t>
            </w:r>
          </w:p>
        </w:tc>
        <w:tc>
          <w:tcPr>
            <w:tcW w:w="6498" w:type="dxa"/>
            <w:tcBorders>
              <w:top w:val="single" w:sz="6" w:space="0" w:color="7F7F7F"/>
            </w:tcBorders>
          </w:tcPr>
          <w:p w14:paraId="366C549B"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tcBorders>
              <w:top w:val="single" w:sz="6" w:space="0" w:color="7F7F7F"/>
            </w:tcBorders>
          </w:tcPr>
          <w:p w14:paraId="74F68FAE"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tcBorders>
              <w:top w:val="single" w:sz="6" w:space="0" w:color="7F7F7F"/>
            </w:tcBorders>
          </w:tcPr>
          <w:p w14:paraId="31F2EA17"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1D2588A3" w14:textId="77777777" w:rsidTr="005336AB">
        <w:tc>
          <w:tcPr>
            <w:tcW w:w="587" w:type="dxa"/>
            <w:shd w:val="clear" w:color="auto" w:fill="EEEEEE"/>
          </w:tcPr>
          <w:p w14:paraId="00815D4E"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2</w:t>
            </w:r>
          </w:p>
        </w:tc>
        <w:tc>
          <w:tcPr>
            <w:tcW w:w="1810" w:type="dxa"/>
            <w:shd w:val="clear" w:color="auto" w:fill="EEEEEE"/>
          </w:tcPr>
          <w:p w14:paraId="7DE528E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Background</w:t>
            </w:r>
          </w:p>
        </w:tc>
        <w:tc>
          <w:tcPr>
            <w:tcW w:w="6498" w:type="dxa"/>
            <w:shd w:val="clear" w:color="auto" w:fill="EEEEEE"/>
          </w:tcPr>
          <w:p w14:paraId="5B5F7FF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Explain the scientific background and rationale for the reported study. What is the exposure? Is a potential causal relationship between exposure and outcome plausible? Justify why MR is a helpful method to address the study question</w:t>
            </w:r>
          </w:p>
        </w:tc>
        <w:tc>
          <w:tcPr>
            <w:tcW w:w="1427" w:type="dxa"/>
            <w:shd w:val="clear" w:color="auto" w:fill="EEEEEE"/>
          </w:tcPr>
          <w:p w14:paraId="79BCD568"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2-3</w:t>
            </w:r>
          </w:p>
        </w:tc>
        <w:tc>
          <w:tcPr>
            <w:tcW w:w="4168" w:type="dxa"/>
            <w:shd w:val="clear" w:color="auto" w:fill="EEEEEE"/>
          </w:tcPr>
          <w:p w14:paraId="5C53FD34"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The etiological mechanisms underlying female infertility are multifactorial and complex, encompassing a range of lifestyle, environmental, and biological factors, all of which are modulated by socio-economic dynamics. Traditional observational studies have uncovered a link between female infertility and various modifiable risk factors, including obesity, tobacco and alcohol use, sleep disturbances, and psychological stress[7-12]. However, these studies are often limited by residual confounding, reverse causation, and inconsistent findings across populations. To address these methodological limitations, we employed a Mendelian Randomization (MR) approach, utilizing genetic variants as instrumental variables to infer causal relationships while minimizing bias from confounding and reverse causality. Sixteen modifiable risk factors were selected based on their relevance to public health, potential for clinical intervention, and previously reported associations with reproductive outcomes. In addition, we investigated circulating blood biomarkers such as glucose, lipid profiles, urate, and uric acid levels as potential mediators, given their biological links to lifestyle and psychosocial factors, and their suggested associations with female infertility in existing studies[13-16]</w:t>
            </w:r>
          </w:p>
        </w:tc>
      </w:tr>
      <w:tr w:rsidR="004B1FD0" w:rsidRPr="00853D60" w14:paraId="7C4CA4DF" w14:textId="77777777" w:rsidTr="005336AB">
        <w:tc>
          <w:tcPr>
            <w:tcW w:w="587" w:type="dxa"/>
            <w:tcBorders>
              <w:bottom w:val="single" w:sz="6" w:space="0" w:color="7F7F7F"/>
            </w:tcBorders>
          </w:tcPr>
          <w:p w14:paraId="43F7996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3</w:t>
            </w:r>
          </w:p>
        </w:tc>
        <w:tc>
          <w:tcPr>
            <w:tcW w:w="1810" w:type="dxa"/>
            <w:tcBorders>
              <w:bottom w:val="single" w:sz="6" w:space="0" w:color="7F7F7F"/>
            </w:tcBorders>
          </w:tcPr>
          <w:p w14:paraId="0CC4C323"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Objectives</w:t>
            </w:r>
          </w:p>
        </w:tc>
        <w:tc>
          <w:tcPr>
            <w:tcW w:w="6498" w:type="dxa"/>
            <w:tcBorders>
              <w:bottom w:val="single" w:sz="6" w:space="0" w:color="7F7F7F"/>
            </w:tcBorders>
          </w:tcPr>
          <w:p w14:paraId="737ECA76"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State specific objectives clearly, including pre-specified causal hypotheses (if any). State that MR is a method that, under specific assumptions, intends to estimate causal effects</w:t>
            </w:r>
          </w:p>
        </w:tc>
        <w:tc>
          <w:tcPr>
            <w:tcW w:w="1427" w:type="dxa"/>
            <w:tcBorders>
              <w:bottom w:val="single" w:sz="6" w:space="0" w:color="7F7F7F"/>
            </w:tcBorders>
          </w:tcPr>
          <w:p w14:paraId="622A0C46"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3</w:t>
            </w:r>
          </w:p>
        </w:tc>
        <w:tc>
          <w:tcPr>
            <w:tcW w:w="4168" w:type="dxa"/>
            <w:tcBorders>
              <w:bottom w:val="single" w:sz="6" w:space="0" w:color="7F7F7F"/>
            </w:tcBorders>
          </w:tcPr>
          <w:p w14:paraId="0225B99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 xml:space="preserve">Furthermore, using a two-sample MR framework, we explored the causal impact of modifiable exposures and serum biomarkers on female infertility, while also evaluating the mediating roles of biomarkers in these associations. </w:t>
            </w:r>
          </w:p>
        </w:tc>
      </w:tr>
      <w:tr w:rsidR="004B1FD0" w:rsidRPr="00853D60" w14:paraId="6CE130E3" w14:textId="77777777" w:rsidTr="005336AB">
        <w:tc>
          <w:tcPr>
            <w:tcW w:w="587" w:type="dxa"/>
            <w:tcBorders>
              <w:top w:val="single" w:sz="6" w:space="0" w:color="7F7F7F"/>
            </w:tcBorders>
            <w:shd w:val="clear" w:color="auto" w:fill="EEEEEE"/>
          </w:tcPr>
          <w:p w14:paraId="235DFDDF"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p>
        </w:tc>
        <w:tc>
          <w:tcPr>
            <w:tcW w:w="1810" w:type="dxa"/>
            <w:tcBorders>
              <w:top w:val="single" w:sz="6" w:space="0" w:color="7F7F7F"/>
            </w:tcBorders>
            <w:shd w:val="clear" w:color="auto" w:fill="EEEEEE"/>
          </w:tcPr>
          <w:p w14:paraId="67E10BFB"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METHODS</w:t>
            </w:r>
          </w:p>
        </w:tc>
        <w:tc>
          <w:tcPr>
            <w:tcW w:w="6498" w:type="dxa"/>
            <w:tcBorders>
              <w:top w:val="single" w:sz="6" w:space="0" w:color="7F7F7F"/>
            </w:tcBorders>
            <w:shd w:val="clear" w:color="auto" w:fill="EEEEEE"/>
          </w:tcPr>
          <w:p w14:paraId="3F959053"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tcBorders>
              <w:top w:val="single" w:sz="6" w:space="0" w:color="7F7F7F"/>
            </w:tcBorders>
            <w:shd w:val="clear" w:color="auto" w:fill="EEEEEE"/>
          </w:tcPr>
          <w:p w14:paraId="67CE8875"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tcBorders>
              <w:top w:val="single" w:sz="6" w:space="0" w:color="7F7F7F"/>
            </w:tcBorders>
            <w:shd w:val="clear" w:color="auto" w:fill="EEEEEE"/>
          </w:tcPr>
          <w:p w14:paraId="7955D534"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3ADFCE88" w14:textId="77777777" w:rsidTr="005336AB">
        <w:tc>
          <w:tcPr>
            <w:tcW w:w="587" w:type="dxa"/>
          </w:tcPr>
          <w:p w14:paraId="161D5E3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4</w:t>
            </w:r>
          </w:p>
        </w:tc>
        <w:tc>
          <w:tcPr>
            <w:tcW w:w="1810" w:type="dxa"/>
          </w:tcPr>
          <w:p w14:paraId="7FB33CA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Study design and data sources</w:t>
            </w:r>
          </w:p>
        </w:tc>
        <w:tc>
          <w:tcPr>
            <w:tcW w:w="6498" w:type="dxa"/>
          </w:tcPr>
          <w:p w14:paraId="1A2B2ECF"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Present key elements of the study design early in the article. Consider including a table listing sources of data for all phases of the study. For each data source contributing to the analysis, describe the following: </w:t>
            </w:r>
          </w:p>
        </w:tc>
        <w:tc>
          <w:tcPr>
            <w:tcW w:w="1427" w:type="dxa"/>
          </w:tcPr>
          <w:p w14:paraId="05AF8828"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p>
        </w:tc>
        <w:tc>
          <w:tcPr>
            <w:tcW w:w="4168" w:type="dxa"/>
          </w:tcPr>
          <w:p w14:paraId="3A07088D"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p>
        </w:tc>
      </w:tr>
      <w:tr w:rsidR="004B1FD0" w:rsidRPr="00853D60" w14:paraId="4F478A7C" w14:textId="77777777" w:rsidTr="005336AB">
        <w:tc>
          <w:tcPr>
            <w:tcW w:w="587" w:type="dxa"/>
            <w:shd w:val="clear" w:color="auto" w:fill="EEEEEE"/>
          </w:tcPr>
          <w:p w14:paraId="370311EC"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0BD34E66"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shd w:val="clear" w:color="auto" w:fill="EEEEEE"/>
          </w:tcPr>
          <w:p w14:paraId="4473535B"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Setting: Describe the study design and the underlying population, if possible. Describe the setting, locations, and relevant dates, including periods of recruitment, exposure, follow-up, and data collection, when available.</w:t>
            </w:r>
          </w:p>
        </w:tc>
        <w:tc>
          <w:tcPr>
            <w:tcW w:w="1427" w:type="dxa"/>
            <w:shd w:val="clear" w:color="auto" w:fill="EEEEEE"/>
          </w:tcPr>
          <w:p w14:paraId="17519BA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w:t>
            </w:r>
            <w:r w:rsidRPr="00853D60">
              <w:rPr>
                <w:rFonts w:ascii="Times New Roman" w:hAnsi="Times New Roman" w:cs="Times New Roman"/>
                <w:color w:val="000000"/>
                <w:kern w:val="0"/>
                <w:sz w:val="18"/>
                <w:szCs w:val="18"/>
              </w:rPr>
              <w:t xml:space="preserve"> S1</w:t>
            </w:r>
          </w:p>
        </w:tc>
        <w:tc>
          <w:tcPr>
            <w:tcW w:w="4168" w:type="dxa"/>
            <w:shd w:val="clear" w:color="auto" w:fill="EEEEEE"/>
          </w:tcPr>
          <w:p w14:paraId="30CD4E74"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Supplementary Table S1 presents the sample collection timeframe, contributing institutions, and study cohorts for each GWAS dataset, along with corresponding data provenance</w:t>
            </w:r>
          </w:p>
        </w:tc>
      </w:tr>
      <w:tr w:rsidR="004B1FD0" w:rsidRPr="00853D60" w14:paraId="57B82A4F" w14:textId="77777777" w:rsidTr="005336AB">
        <w:tc>
          <w:tcPr>
            <w:tcW w:w="587" w:type="dxa"/>
          </w:tcPr>
          <w:p w14:paraId="0698A8CB"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29901CE2"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tcPr>
          <w:p w14:paraId="18B0D93B" w14:textId="77777777" w:rsidR="004B1FD0" w:rsidRPr="00853D60" w:rsidRDefault="004B1FD0" w:rsidP="005336AB">
            <w:pPr>
              <w:widowControl/>
              <w:spacing w:beforeLines="40" w:before="96" w:afterLines="40" w:after="96" w:line="24" w:lineRule="atLeast"/>
              <w:jc w:val="left"/>
              <w:textAlignment w:val="baseline"/>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 xml:space="preserve">Participants: Give the eligibility criteria, and the sources and methods of selection of participants. </w:t>
            </w:r>
            <w:r w:rsidRPr="00853D60">
              <w:rPr>
                <w:rFonts w:ascii="Times New Roman" w:eastAsia="Times New Roman" w:hAnsi="Times New Roman" w:cs="Times New Roman"/>
                <w:color w:val="000000"/>
                <w:kern w:val="0"/>
                <w:sz w:val="18"/>
                <w:szCs w:val="18"/>
                <w:lang w:eastAsia="de-CH"/>
              </w:rPr>
              <w:t>Report the sample size, and whether any power or sample size calculations were carried out prior to the main analysis</w:t>
            </w:r>
            <w:r w:rsidRPr="00853D60">
              <w:rPr>
                <w:rFonts w:ascii="Times New Roman" w:eastAsia="Times New Roman" w:hAnsi="Times New Roman" w:cs="Times New Roman"/>
                <w:color w:val="000000"/>
                <w:kern w:val="0"/>
                <w:sz w:val="18"/>
                <w:szCs w:val="18"/>
                <w:lang w:eastAsia="en-GB"/>
              </w:rPr>
              <w:t> </w:t>
            </w:r>
          </w:p>
        </w:tc>
        <w:tc>
          <w:tcPr>
            <w:tcW w:w="1427" w:type="dxa"/>
          </w:tcPr>
          <w:p w14:paraId="538A58B7" w14:textId="77777777" w:rsidR="004B1FD0" w:rsidRPr="00853D60" w:rsidRDefault="004B1FD0" w:rsidP="005336AB">
            <w:pPr>
              <w:widowControl/>
              <w:spacing w:beforeLines="40" w:before="96" w:afterLines="40" w:after="96" w:line="24" w:lineRule="atLeast"/>
              <w:jc w:val="left"/>
              <w:textAlignment w:val="baseline"/>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w:t>
            </w:r>
            <w:r w:rsidRPr="00853D60">
              <w:rPr>
                <w:rFonts w:ascii="Times New Roman" w:hAnsi="Times New Roman" w:cs="Times New Roman"/>
                <w:color w:val="000000"/>
                <w:kern w:val="0"/>
                <w:sz w:val="18"/>
                <w:szCs w:val="18"/>
              </w:rPr>
              <w:t xml:space="preserve"> S1</w:t>
            </w:r>
          </w:p>
        </w:tc>
        <w:tc>
          <w:tcPr>
            <w:tcW w:w="4168" w:type="dxa"/>
          </w:tcPr>
          <w:p w14:paraId="7D7A4BBA" w14:textId="77777777" w:rsidR="004B1FD0" w:rsidRPr="00853D60" w:rsidRDefault="004B1FD0" w:rsidP="005336AB">
            <w:pPr>
              <w:widowControl/>
              <w:spacing w:beforeLines="40" w:before="96" w:afterLines="40" w:after="96" w:line="24" w:lineRule="atLeast"/>
              <w:jc w:val="left"/>
              <w:textAlignment w:val="baseline"/>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study  details in Supplementary Table S1 the sample sizes and fundamental population characteristics for each GWAS dataset, with full disclosure of public data sources. No sample size calculations were performed for the publicly accessible database resources.</w:t>
            </w:r>
          </w:p>
        </w:tc>
      </w:tr>
      <w:tr w:rsidR="004B1FD0" w:rsidRPr="00853D60" w14:paraId="6D948403" w14:textId="77777777" w:rsidTr="005336AB">
        <w:tc>
          <w:tcPr>
            <w:tcW w:w="587" w:type="dxa"/>
            <w:shd w:val="clear" w:color="auto" w:fill="EEEEEE"/>
          </w:tcPr>
          <w:p w14:paraId="4F3C0FC2"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4E35775E"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c)</w:t>
            </w:r>
          </w:p>
        </w:tc>
        <w:tc>
          <w:tcPr>
            <w:tcW w:w="6498" w:type="dxa"/>
            <w:shd w:val="clear" w:color="auto" w:fill="EEEEEE"/>
          </w:tcPr>
          <w:p w14:paraId="74312E95"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Describe measurement, quality control and selection of genetic variants</w:t>
            </w:r>
          </w:p>
        </w:tc>
        <w:tc>
          <w:tcPr>
            <w:tcW w:w="1427" w:type="dxa"/>
            <w:shd w:val="clear" w:color="auto" w:fill="EEEEEE"/>
          </w:tcPr>
          <w:p w14:paraId="1DD4F760"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6</w:t>
            </w:r>
          </w:p>
        </w:tc>
        <w:tc>
          <w:tcPr>
            <w:tcW w:w="4168" w:type="dxa"/>
            <w:shd w:val="clear" w:color="auto" w:fill="EEEEEE"/>
          </w:tcPr>
          <w:p w14:paraId="0E22F16C"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 xml:space="preserve">Single nucleotide polymorphisms (SNPs) were employed as instrumental variables (IVs) to infer causal relationships. SNPs were selected using a stringent genome-wide significance threshold of P &lt; 5 × 10-8. To ensure independence among selected variants, linkage disequilibrium (LD) pruning was conducted using a threshold of r2 &lt; 0.001 and a clumping window of 10,000 base pairs. The strength of each SNP as an instrumental variable was assessed using the F statistic, calculated by squaring the SNP-exposure association coefficient and dividing it by the square of its standard error. SNPs with F statistics &gt; 10 were considered sufficiently strong to minimize weak instrument bias. </w:t>
            </w:r>
          </w:p>
        </w:tc>
      </w:tr>
      <w:tr w:rsidR="004B1FD0" w:rsidRPr="00853D60" w14:paraId="60886272" w14:textId="77777777" w:rsidTr="005336AB">
        <w:tc>
          <w:tcPr>
            <w:tcW w:w="587" w:type="dxa"/>
          </w:tcPr>
          <w:p w14:paraId="759967BD"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192DB938"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d)</w:t>
            </w:r>
          </w:p>
        </w:tc>
        <w:tc>
          <w:tcPr>
            <w:tcW w:w="6498" w:type="dxa"/>
          </w:tcPr>
          <w:p w14:paraId="0A27610E" w14:textId="77777777" w:rsidR="004B1FD0" w:rsidRPr="00853D60" w:rsidRDefault="004B1FD0" w:rsidP="005336AB">
            <w:pPr>
              <w:widowControl/>
              <w:spacing w:beforeLines="40" w:before="96" w:afterLines="40" w:after="96" w:line="24" w:lineRule="atLeast"/>
              <w:jc w:val="left"/>
              <w:textAlignment w:val="baseline"/>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For each exposure, outcome, and other relevant variables, describe methods of assessment and diagnostic criteria for diseases</w:t>
            </w:r>
          </w:p>
        </w:tc>
        <w:tc>
          <w:tcPr>
            <w:tcW w:w="1427" w:type="dxa"/>
          </w:tcPr>
          <w:p w14:paraId="23C3030C" w14:textId="77777777" w:rsidR="004B1FD0" w:rsidRPr="00853D60" w:rsidRDefault="004B1FD0" w:rsidP="005336AB">
            <w:pPr>
              <w:widowControl/>
              <w:spacing w:beforeLines="40" w:before="96" w:afterLines="40" w:after="96" w:line="24" w:lineRule="atLeast"/>
              <w:jc w:val="left"/>
              <w:textAlignment w:val="baseline"/>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w:t>
            </w:r>
            <w:r w:rsidRPr="00853D60">
              <w:rPr>
                <w:rFonts w:ascii="Times New Roman" w:hAnsi="Times New Roman" w:cs="Times New Roman"/>
                <w:color w:val="000000"/>
                <w:kern w:val="0"/>
                <w:sz w:val="18"/>
                <w:szCs w:val="18"/>
              </w:rPr>
              <w:t xml:space="preserve"> S1</w:t>
            </w:r>
          </w:p>
        </w:tc>
        <w:tc>
          <w:tcPr>
            <w:tcW w:w="4168" w:type="dxa"/>
          </w:tcPr>
          <w:p w14:paraId="0B58963D" w14:textId="77777777" w:rsidR="004B1FD0" w:rsidRPr="00853D60" w:rsidRDefault="004B1FD0" w:rsidP="005336AB">
            <w:pPr>
              <w:widowControl/>
              <w:spacing w:beforeLines="40" w:before="96" w:afterLines="40" w:after="96" w:line="24" w:lineRule="atLeast"/>
              <w:jc w:val="left"/>
              <w:textAlignment w:val="baseline"/>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The</w:t>
            </w:r>
            <w:r w:rsidRPr="00853D60">
              <w:rPr>
                <w:rFonts w:ascii="Times New Roman" w:hAnsi="Times New Roman" w:cs="Times New Roman"/>
                <w:color w:val="000000"/>
                <w:kern w:val="0"/>
                <w:sz w:val="18"/>
                <w:szCs w:val="18"/>
              </w:rPr>
              <w:t xml:space="preserve"> </w:t>
            </w:r>
            <w:r w:rsidRPr="00853D60">
              <w:rPr>
                <w:rFonts w:ascii="Times New Roman" w:eastAsia="Times New Roman" w:hAnsi="Times New Roman" w:cs="Times New Roman"/>
                <w:color w:val="000000"/>
                <w:kern w:val="0"/>
                <w:sz w:val="18"/>
                <w:szCs w:val="18"/>
                <w:lang w:eastAsia="en-GB"/>
              </w:rPr>
              <w:t>study provides describe methods of assessment and diagnostic criteria for each exposure and outcome measure in Supplementary Table S1, along with corresponding reference citations supporting these definitions.</w:t>
            </w:r>
          </w:p>
        </w:tc>
      </w:tr>
      <w:tr w:rsidR="004B1FD0" w:rsidRPr="00853D60" w14:paraId="77432F93" w14:textId="77777777" w:rsidTr="005336AB">
        <w:tc>
          <w:tcPr>
            <w:tcW w:w="587" w:type="dxa"/>
            <w:shd w:val="clear" w:color="auto" w:fill="EEEEEE"/>
          </w:tcPr>
          <w:p w14:paraId="6B35A9C5"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04BEDC29"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e)</w:t>
            </w:r>
          </w:p>
        </w:tc>
        <w:tc>
          <w:tcPr>
            <w:tcW w:w="6498" w:type="dxa"/>
            <w:shd w:val="clear" w:color="auto" w:fill="EEEEEE"/>
          </w:tcPr>
          <w:p w14:paraId="2910D275" w14:textId="77777777" w:rsidR="004B1FD0" w:rsidRPr="00853D60" w:rsidRDefault="004B1FD0" w:rsidP="005336AB">
            <w:pPr>
              <w:widowControl/>
              <w:spacing w:beforeLines="40" w:before="96" w:afterLines="40" w:after="96" w:line="24" w:lineRule="atLeast"/>
              <w:jc w:val="left"/>
              <w:textAlignment w:val="baseline"/>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Provide details of ethics committee approval and participant informed consent, if relevant</w:t>
            </w:r>
          </w:p>
        </w:tc>
        <w:tc>
          <w:tcPr>
            <w:tcW w:w="1427" w:type="dxa"/>
            <w:shd w:val="clear" w:color="auto" w:fill="EEEEEE"/>
          </w:tcPr>
          <w:p w14:paraId="0566A9E0" w14:textId="77777777" w:rsidR="004B1FD0" w:rsidRPr="00853D60" w:rsidRDefault="004B1FD0" w:rsidP="005336AB">
            <w:pPr>
              <w:widowControl/>
              <w:spacing w:beforeLines="40" w:before="96" w:afterLines="40" w:after="96" w:line="24" w:lineRule="atLeast"/>
              <w:jc w:val="left"/>
              <w:textAlignment w:val="baseline"/>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17</w:t>
            </w:r>
          </w:p>
        </w:tc>
        <w:tc>
          <w:tcPr>
            <w:tcW w:w="4168" w:type="dxa"/>
            <w:shd w:val="clear" w:color="auto" w:fill="EEEEEE"/>
          </w:tcPr>
          <w:p w14:paraId="4E8FA1E8" w14:textId="77777777" w:rsidR="004B1FD0" w:rsidRPr="00853D60" w:rsidRDefault="004B1FD0" w:rsidP="005336AB">
            <w:pPr>
              <w:widowControl/>
              <w:spacing w:beforeLines="40" w:before="96" w:afterLines="40" w:after="96" w:line="24" w:lineRule="atLeast"/>
              <w:jc w:val="left"/>
              <w:textAlignment w:val="baseline"/>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This research is based on a public database, so the Ethics Committee of Changde Hospital waived the requirement for approva</w:t>
            </w:r>
          </w:p>
        </w:tc>
      </w:tr>
      <w:tr w:rsidR="004B1FD0" w:rsidRPr="00853D60" w14:paraId="39064345" w14:textId="77777777" w:rsidTr="005336AB">
        <w:tc>
          <w:tcPr>
            <w:tcW w:w="587" w:type="dxa"/>
          </w:tcPr>
          <w:p w14:paraId="678502A0"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5</w:t>
            </w:r>
          </w:p>
        </w:tc>
        <w:tc>
          <w:tcPr>
            <w:tcW w:w="1810" w:type="dxa"/>
          </w:tcPr>
          <w:p w14:paraId="74C2A770"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Assumptions</w:t>
            </w:r>
          </w:p>
          <w:p w14:paraId="6A9E626E" w14:textId="77777777" w:rsidR="004B1FD0" w:rsidRPr="00853D60" w:rsidRDefault="004B1FD0" w:rsidP="005336AB">
            <w:pPr>
              <w:widowControl/>
              <w:spacing w:beforeLines="40" w:before="96" w:afterLines="40" w:after="96" w:line="24" w:lineRule="atLeast"/>
              <w:jc w:val="center"/>
              <w:rPr>
                <w:rFonts w:ascii="Times New Roman" w:eastAsia="Cambria" w:hAnsi="Times New Roman" w:cs="Times New Roman"/>
                <w:color w:val="000000"/>
                <w:kern w:val="0"/>
                <w:sz w:val="18"/>
                <w:szCs w:val="18"/>
                <w:lang w:eastAsia="en-US"/>
              </w:rPr>
            </w:pPr>
          </w:p>
        </w:tc>
        <w:tc>
          <w:tcPr>
            <w:tcW w:w="6498" w:type="dxa"/>
          </w:tcPr>
          <w:p w14:paraId="593301C8"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Explicitly state the three core IV assumptions for the main analysis (relevance, independence and exclusion restriction) as well assumptions for any additional or sensitivity analysis</w:t>
            </w:r>
          </w:p>
        </w:tc>
        <w:tc>
          <w:tcPr>
            <w:tcW w:w="1427" w:type="dxa"/>
          </w:tcPr>
          <w:p w14:paraId="14D83E1C"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5-6</w:t>
            </w:r>
          </w:p>
        </w:tc>
        <w:tc>
          <w:tcPr>
            <w:tcW w:w="4168" w:type="dxa"/>
          </w:tcPr>
          <w:p w14:paraId="46D37397"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While the three core IV assumptions were not explicitly detailed in the text, the analytical methodology inherently incorporates these fundamental postulates.</w:t>
            </w:r>
          </w:p>
        </w:tc>
      </w:tr>
      <w:tr w:rsidR="004B1FD0" w:rsidRPr="00853D60" w14:paraId="64FDD5F2" w14:textId="77777777" w:rsidTr="005336AB">
        <w:tc>
          <w:tcPr>
            <w:tcW w:w="587" w:type="dxa"/>
            <w:shd w:val="clear" w:color="auto" w:fill="EEEEEE"/>
          </w:tcPr>
          <w:p w14:paraId="404F789F"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6</w:t>
            </w:r>
          </w:p>
        </w:tc>
        <w:tc>
          <w:tcPr>
            <w:tcW w:w="1810" w:type="dxa"/>
            <w:shd w:val="clear" w:color="auto" w:fill="EEEEEE"/>
          </w:tcPr>
          <w:p w14:paraId="43D33B56"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Statistical methods: main analysis</w:t>
            </w:r>
          </w:p>
        </w:tc>
        <w:tc>
          <w:tcPr>
            <w:tcW w:w="6498" w:type="dxa"/>
            <w:shd w:val="clear" w:color="auto" w:fill="EEEEEE"/>
          </w:tcPr>
          <w:p w14:paraId="19982856"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Describe statistical methods and statistics used</w:t>
            </w:r>
          </w:p>
        </w:tc>
        <w:tc>
          <w:tcPr>
            <w:tcW w:w="1427" w:type="dxa"/>
            <w:shd w:val="clear" w:color="auto" w:fill="EEEEEE"/>
          </w:tcPr>
          <w:p w14:paraId="7D5039C3"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p>
        </w:tc>
        <w:tc>
          <w:tcPr>
            <w:tcW w:w="4168" w:type="dxa"/>
            <w:shd w:val="clear" w:color="auto" w:fill="EEEEEE"/>
          </w:tcPr>
          <w:p w14:paraId="09C4FBD5"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p>
        </w:tc>
      </w:tr>
      <w:tr w:rsidR="004B1FD0" w:rsidRPr="00853D60" w14:paraId="26B27385" w14:textId="77777777" w:rsidTr="005336AB">
        <w:tc>
          <w:tcPr>
            <w:tcW w:w="587" w:type="dxa"/>
          </w:tcPr>
          <w:p w14:paraId="79058E43"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652F8903"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tcPr>
          <w:p w14:paraId="6BA82ED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Describe how quantitative variables were handled in the analyses (i.e., scale, units, model)</w:t>
            </w:r>
          </w:p>
        </w:tc>
        <w:tc>
          <w:tcPr>
            <w:tcW w:w="1427" w:type="dxa"/>
          </w:tcPr>
          <w:p w14:paraId="2E1A3737"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6</w:t>
            </w:r>
          </w:p>
        </w:tc>
        <w:tc>
          <w:tcPr>
            <w:tcW w:w="4168" w:type="dxa"/>
          </w:tcPr>
          <w:p w14:paraId="3EC5008A"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analysis was conducted using a random-effects model, where neither the effect sizes nor the measurement units for exposures, outcomes, or relevant covariates were transformed, and thus were not reported.</w:t>
            </w:r>
          </w:p>
        </w:tc>
      </w:tr>
      <w:tr w:rsidR="004B1FD0" w:rsidRPr="00853D60" w14:paraId="50F8B565" w14:textId="77777777" w:rsidTr="005336AB">
        <w:tc>
          <w:tcPr>
            <w:tcW w:w="587" w:type="dxa"/>
            <w:shd w:val="clear" w:color="auto" w:fill="EEEEEE"/>
          </w:tcPr>
          <w:p w14:paraId="27067070"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3D14383A"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shd w:val="clear" w:color="auto" w:fill="EEEEEE"/>
          </w:tcPr>
          <w:p w14:paraId="4BBDE41C"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Describe how genetic variants were handled in the analyses and, if applicable, how their weights were selected</w:t>
            </w:r>
          </w:p>
        </w:tc>
        <w:tc>
          <w:tcPr>
            <w:tcW w:w="1427" w:type="dxa"/>
            <w:shd w:val="clear" w:color="auto" w:fill="EEEEEE"/>
          </w:tcPr>
          <w:p w14:paraId="4EE4D43F"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w:t>
            </w:r>
            <w:r w:rsidRPr="00853D60">
              <w:rPr>
                <w:rFonts w:ascii="Times New Roman" w:hAnsi="Times New Roman" w:cs="Times New Roman"/>
                <w:color w:val="000000"/>
                <w:kern w:val="0"/>
                <w:sz w:val="18"/>
                <w:szCs w:val="18"/>
              </w:rPr>
              <w:t xml:space="preserve"> S1</w:t>
            </w:r>
          </w:p>
        </w:tc>
        <w:tc>
          <w:tcPr>
            <w:tcW w:w="4168" w:type="dxa"/>
            <w:shd w:val="clear" w:color="auto" w:fill="EEEEEE"/>
          </w:tcPr>
          <w:p w14:paraId="3BAF591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For analyses using public database datasets, the specific genetic instrument selection methods for each exposure variable are documented in the reference sources provided in Supplementary Table S1.</w:t>
            </w:r>
          </w:p>
        </w:tc>
      </w:tr>
      <w:tr w:rsidR="004B1FD0" w:rsidRPr="00853D60" w14:paraId="7CA8E074" w14:textId="77777777" w:rsidTr="005336AB">
        <w:tc>
          <w:tcPr>
            <w:tcW w:w="587" w:type="dxa"/>
          </w:tcPr>
          <w:p w14:paraId="7053C3D2"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588C5137"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c)</w:t>
            </w:r>
          </w:p>
        </w:tc>
        <w:tc>
          <w:tcPr>
            <w:tcW w:w="6498" w:type="dxa"/>
          </w:tcPr>
          <w:p w14:paraId="1A1483A0"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Describe the MR estimator (e.g. two-stage least squares, Wald ratio) and related statistics. Detail the included covariates and, in case of two-sample MR, whether the same covariate set was used for adjustment in the two samples</w:t>
            </w:r>
          </w:p>
        </w:tc>
        <w:tc>
          <w:tcPr>
            <w:tcW w:w="1427" w:type="dxa"/>
          </w:tcPr>
          <w:p w14:paraId="200A4008"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 xml:space="preserve">6, </w:t>
            </w:r>
            <w:r w:rsidRPr="00853D60">
              <w:rPr>
                <w:rFonts w:ascii="Times New Roman" w:eastAsia="Times New Roman" w:hAnsi="Times New Roman" w:cs="Times New Roman"/>
                <w:color w:val="000000"/>
                <w:kern w:val="0"/>
                <w:sz w:val="18"/>
                <w:szCs w:val="18"/>
                <w:lang w:eastAsia="en-GB"/>
              </w:rPr>
              <w:t>Supplementary Table</w:t>
            </w:r>
            <w:r w:rsidRPr="00853D60">
              <w:rPr>
                <w:rFonts w:ascii="Times New Roman" w:hAnsi="Times New Roman" w:cs="Times New Roman"/>
                <w:color w:val="000000"/>
                <w:kern w:val="0"/>
                <w:sz w:val="18"/>
                <w:szCs w:val="18"/>
              </w:rPr>
              <w:t xml:space="preserve"> S1</w:t>
            </w:r>
          </w:p>
        </w:tc>
        <w:tc>
          <w:tcPr>
            <w:tcW w:w="4168" w:type="dxa"/>
          </w:tcPr>
          <w:p w14:paraId="44474182"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The study provides a comprehensive description of the specific MR statistical methodologies and software packages employed. All covariates adjusted for each exposure are detailed in Supplementary Table S1.</w:t>
            </w:r>
          </w:p>
        </w:tc>
      </w:tr>
      <w:tr w:rsidR="004B1FD0" w:rsidRPr="00853D60" w14:paraId="79B63F2D" w14:textId="77777777" w:rsidTr="005336AB">
        <w:tc>
          <w:tcPr>
            <w:tcW w:w="587" w:type="dxa"/>
            <w:shd w:val="clear" w:color="auto" w:fill="EEEEEE"/>
          </w:tcPr>
          <w:p w14:paraId="75B7C63C"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263CF4FE"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d)</w:t>
            </w:r>
          </w:p>
        </w:tc>
        <w:tc>
          <w:tcPr>
            <w:tcW w:w="6498" w:type="dxa"/>
            <w:shd w:val="clear" w:color="auto" w:fill="EEEEEE"/>
          </w:tcPr>
          <w:p w14:paraId="0B8F7E3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Explain how missing data were addressed</w:t>
            </w:r>
          </w:p>
        </w:tc>
        <w:tc>
          <w:tcPr>
            <w:tcW w:w="1427" w:type="dxa"/>
            <w:shd w:val="clear" w:color="auto" w:fill="EEEEEE"/>
          </w:tcPr>
          <w:p w14:paraId="1AEA5BA0"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w:t>
            </w:r>
            <w:r w:rsidRPr="00853D60">
              <w:rPr>
                <w:rFonts w:ascii="Times New Roman" w:hAnsi="Times New Roman" w:cs="Times New Roman"/>
                <w:color w:val="000000"/>
                <w:kern w:val="0"/>
                <w:sz w:val="18"/>
                <w:szCs w:val="18"/>
              </w:rPr>
              <w:t xml:space="preserve"> S1</w:t>
            </w:r>
          </w:p>
        </w:tc>
        <w:tc>
          <w:tcPr>
            <w:tcW w:w="4168" w:type="dxa"/>
            <w:shd w:val="clear" w:color="auto" w:fill="EEEEEE"/>
          </w:tcPr>
          <w:p w14:paraId="2BC9D9D3"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The analysis employed publicly available database datasets without imputation for missing data. Detailed adjustment methods for each exposure variable are referenced in the source publications provided in Supplementary Table S1.</w:t>
            </w:r>
          </w:p>
        </w:tc>
      </w:tr>
      <w:tr w:rsidR="004B1FD0" w:rsidRPr="00853D60" w14:paraId="66C22711" w14:textId="77777777" w:rsidTr="005336AB">
        <w:tc>
          <w:tcPr>
            <w:tcW w:w="587" w:type="dxa"/>
          </w:tcPr>
          <w:p w14:paraId="5FA2A525"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7DA669C2"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e)</w:t>
            </w:r>
          </w:p>
        </w:tc>
        <w:tc>
          <w:tcPr>
            <w:tcW w:w="6498" w:type="dxa"/>
          </w:tcPr>
          <w:p w14:paraId="74343833"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If applicable, indicate how multiple testing was addressed</w:t>
            </w:r>
          </w:p>
        </w:tc>
        <w:tc>
          <w:tcPr>
            <w:tcW w:w="1427" w:type="dxa"/>
          </w:tcPr>
          <w:p w14:paraId="125CFF21"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6</w:t>
            </w:r>
          </w:p>
        </w:tc>
        <w:tc>
          <w:tcPr>
            <w:tcW w:w="4168" w:type="dxa"/>
          </w:tcPr>
          <w:p w14:paraId="14B45F8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Multiple hypothesis testing was addressed using the false discovery rate (FDR) correction via the Benjamini-Hochberg procedure.</w:t>
            </w:r>
            <w:r w:rsidRPr="00853D60">
              <w:rPr>
                <w:rFonts w:ascii="Times New Roman" w:eastAsia="Cambria" w:hAnsi="Times New Roman" w:cs="Times New Roman"/>
                <w:color w:val="000000"/>
                <w:kern w:val="0"/>
                <w:sz w:val="18"/>
                <w:szCs w:val="18"/>
                <w:lang w:eastAsia="en-US"/>
              </w:rPr>
              <w:t xml:space="preserve"> Associations with an FDR-adjusted P &lt; 0.05 were considered statistically significant. Associations with unadjusted P &lt; 0.05 but FDR-adjusted P &gt; 0.05 were interpreted as suggestive but inconclusive. </w:t>
            </w:r>
          </w:p>
        </w:tc>
      </w:tr>
      <w:tr w:rsidR="004B1FD0" w:rsidRPr="00853D60" w14:paraId="4878A43A" w14:textId="77777777" w:rsidTr="005336AB">
        <w:tc>
          <w:tcPr>
            <w:tcW w:w="587" w:type="dxa"/>
            <w:shd w:val="clear" w:color="auto" w:fill="EEEEEE"/>
          </w:tcPr>
          <w:p w14:paraId="4161B3A2"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7</w:t>
            </w:r>
          </w:p>
        </w:tc>
        <w:tc>
          <w:tcPr>
            <w:tcW w:w="1810" w:type="dxa"/>
            <w:shd w:val="clear" w:color="auto" w:fill="EEEEEE"/>
          </w:tcPr>
          <w:p w14:paraId="5C351C60"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Assessment of assumptions</w:t>
            </w:r>
          </w:p>
        </w:tc>
        <w:tc>
          <w:tcPr>
            <w:tcW w:w="6498" w:type="dxa"/>
            <w:shd w:val="clear" w:color="auto" w:fill="EEEEEE"/>
          </w:tcPr>
          <w:p w14:paraId="7C8E767F" w14:textId="77777777" w:rsidR="004B1FD0" w:rsidRPr="00853D60" w:rsidRDefault="004B1FD0" w:rsidP="005336AB">
            <w:pPr>
              <w:widowControl/>
              <w:tabs>
                <w:tab w:val="left" w:pos="1620"/>
              </w:tabs>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Describe any methods or prior knowledge used to assess the assumptions or justify their validity</w:t>
            </w:r>
            <w:r w:rsidRPr="00853D60">
              <w:rPr>
                <w:rFonts w:ascii="Times New Roman" w:eastAsia="Cambria" w:hAnsi="Times New Roman" w:cs="Times New Roman"/>
                <w:color w:val="000000"/>
                <w:kern w:val="0"/>
                <w:sz w:val="18"/>
                <w:szCs w:val="18"/>
                <w:lang w:eastAsia="en-US"/>
              </w:rPr>
              <w:tab/>
            </w:r>
          </w:p>
        </w:tc>
        <w:tc>
          <w:tcPr>
            <w:tcW w:w="1427" w:type="dxa"/>
            <w:shd w:val="clear" w:color="auto" w:fill="EEEEEE"/>
          </w:tcPr>
          <w:p w14:paraId="0064EE5C" w14:textId="77777777" w:rsidR="004B1FD0" w:rsidRPr="00853D60" w:rsidRDefault="004B1FD0" w:rsidP="005336AB">
            <w:pPr>
              <w:widowControl/>
              <w:tabs>
                <w:tab w:val="left" w:pos="1620"/>
              </w:tabs>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 xml:space="preserve">6, Supplementary Table S3, </w:t>
            </w:r>
            <w:r w:rsidRPr="00853D60">
              <w:rPr>
                <w:rFonts w:ascii="Times New Roman" w:eastAsia="Times New Roman" w:hAnsi="Times New Roman" w:cs="Times New Roman"/>
                <w:color w:val="000000"/>
                <w:kern w:val="0"/>
                <w:sz w:val="18"/>
                <w:szCs w:val="18"/>
                <w:lang w:eastAsia="en-GB"/>
              </w:rPr>
              <w:t>Supplementary Table</w:t>
            </w:r>
            <w:r w:rsidRPr="00853D60">
              <w:rPr>
                <w:rFonts w:ascii="Times New Roman" w:hAnsi="Times New Roman" w:cs="Times New Roman"/>
                <w:color w:val="000000"/>
                <w:kern w:val="0"/>
                <w:sz w:val="18"/>
                <w:szCs w:val="18"/>
              </w:rPr>
              <w:t xml:space="preserve"> S4</w:t>
            </w:r>
          </w:p>
        </w:tc>
        <w:tc>
          <w:tcPr>
            <w:tcW w:w="4168" w:type="dxa"/>
            <w:shd w:val="clear" w:color="auto" w:fill="EEEEEE"/>
          </w:tcPr>
          <w:p w14:paraId="3B18FB97" w14:textId="77777777" w:rsidR="004B1FD0" w:rsidRPr="00853D60" w:rsidRDefault="004B1FD0" w:rsidP="005336AB">
            <w:pPr>
              <w:widowControl/>
              <w:tabs>
                <w:tab w:val="left" w:pos="1620"/>
              </w:tabs>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Single nucleotide polymorphisms (SNPs) were employed as instrumental variables (IVs) to infer causal relationships. SNPs were selected using a stringent genome-wide significance threshold of P &lt; 5 × 10-8. To ensure independence among selected variants, linkage disequilibrium (LD) pruning was conducted using a threshold of r2 &lt; 0.001 and a clumping window of 10,000 base pairs.The strength of each SNP as an instrumental variable was assessed using the F statistic, calculated by squaring the SNP-exposure association coefficient and dividing it by the square of its standard error. SNPs with F statistics &gt; 10 were considered sufficiently strong to minimize weak instrument bias.</w:t>
            </w:r>
          </w:p>
        </w:tc>
      </w:tr>
      <w:tr w:rsidR="004B1FD0" w:rsidRPr="00853D60" w14:paraId="6D06E726" w14:textId="77777777" w:rsidTr="005336AB">
        <w:tc>
          <w:tcPr>
            <w:tcW w:w="587" w:type="dxa"/>
          </w:tcPr>
          <w:p w14:paraId="57411B2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8</w:t>
            </w:r>
          </w:p>
        </w:tc>
        <w:tc>
          <w:tcPr>
            <w:tcW w:w="1810" w:type="dxa"/>
          </w:tcPr>
          <w:p w14:paraId="77BBE8C8"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Sensitivity analyses and additional analyses</w:t>
            </w:r>
          </w:p>
        </w:tc>
        <w:tc>
          <w:tcPr>
            <w:tcW w:w="6498" w:type="dxa"/>
          </w:tcPr>
          <w:p w14:paraId="7EDE2847"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Describe any sensitivity analyses or additional analyses performed (e.g. comparison of effect estimates from different approaches, independent replication, bias analytic techniques, validation of instruments, simulations)</w:t>
            </w:r>
          </w:p>
        </w:tc>
        <w:tc>
          <w:tcPr>
            <w:tcW w:w="1427" w:type="dxa"/>
          </w:tcPr>
          <w:p w14:paraId="2BBC3417"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6</w:t>
            </w:r>
          </w:p>
        </w:tc>
        <w:tc>
          <w:tcPr>
            <w:tcW w:w="4168" w:type="dxa"/>
          </w:tcPr>
          <w:p w14:paraId="6E27196A"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eastAsia="Cambria" w:hAnsi="Times New Roman" w:cs="Times New Roman"/>
                <w:color w:val="000000"/>
                <w:kern w:val="0"/>
                <w:sz w:val="18"/>
                <w:szCs w:val="18"/>
                <w:lang w:eastAsia="en-US"/>
              </w:rPr>
              <w:t>For statistically significant results, we assessed horizontal pleiotropy using the MR-Egger intercept test, MR-PRESSO global test, and leave-one-out sensitivity analysis. Heterogeneity among SNP estimates was evaluated using Cochran’s Q statistic and the I² index.</w:t>
            </w:r>
          </w:p>
        </w:tc>
      </w:tr>
      <w:tr w:rsidR="004B1FD0" w:rsidRPr="00853D60" w14:paraId="0AD69412" w14:textId="77777777" w:rsidTr="005336AB">
        <w:tc>
          <w:tcPr>
            <w:tcW w:w="587" w:type="dxa"/>
            <w:shd w:val="clear" w:color="auto" w:fill="EEEEEE"/>
          </w:tcPr>
          <w:p w14:paraId="3CDE8F85"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9</w:t>
            </w:r>
          </w:p>
        </w:tc>
        <w:tc>
          <w:tcPr>
            <w:tcW w:w="1810" w:type="dxa"/>
            <w:shd w:val="clear" w:color="auto" w:fill="EEEEEE"/>
          </w:tcPr>
          <w:p w14:paraId="4134BEC1"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Software and pre-registration</w:t>
            </w:r>
          </w:p>
        </w:tc>
        <w:tc>
          <w:tcPr>
            <w:tcW w:w="6498" w:type="dxa"/>
            <w:shd w:val="clear" w:color="auto" w:fill="EEEEEE"/>
          </w:tcPr>
          <w:p w14:paraId="1F86B8FF"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shd w:val="clear" w:color="auto" w:fill="EEEEEE"/>
          </w:tcPr>
          <w:p w14:paraId="0E73E20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shd w:val="clear" w:color="auto" w:fill="EEEEEE"/>
          </w:tcPr>
          <w:p w14:paraId="0EB32D1E"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3A4BB68A" w14:textId="77777777" w:rsidTr="005336AB">
        <w:tc>
          <w:tcPr>
            <w:tcW w:w="587" w:type="dxa"/>
          </w:tcPr>
          <w:p w14:paraId="64FB248B"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11B5D692"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tcPr>
          <w:p w14:paraId="07F54C00"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Name statistical software and package(s), including version and settings used </w:t>
            </w:r>
          </w:p>
        </w:tc>
        <w:tc>
          <w:tcPr>
            <w:tcW w:w="1427" w:type="dxa"/>
          </w:tcPr>
          <w:p w14:paraId="68714EE0"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6</w:t>
            </w:r>
          </w:p>
        </w:tc>
        <w:tc>
          <w:tcPr>
            <w:tcW w:w="4168" w:type="dxa"/>
          </w:tcPr>
          <w:p w14:paraId="5DEBCE0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Statistical analyses were conducted with R software, version 4.4.2</w:t>
            </w:r>
            <w:r w:rsidRPr="00853D60">
              <w:rPr>
                <w:rFonts w:ascii="Times New Roman" w:hAnsi="Times New Roman" w:cs="Times New Roman"/>
                <w:color w:val="000000"/>
                <w:kern w:val="0"/>
                <w:sz w:val="18"/>
                <w:szCs w:val="18"/>
              </w:rPr>
              <w:t xml:space="preserve"> and </w:t>
            </w:r>
            <w:r w:rsidRPr="00853D60">
              <w:rPr>
                <w:rFonts w:ascii="Times New Roman" w:eastAsia="Times New Roman" w:hAnsi="Times New Roman" w:cs="Times New Roman"/>
                <w:color w:val="000000"/>
                <w:kern w:val="0"/>
                <w:sz w:val="18"/>
                <w:szCs w:val="18"/>
                <w:lang w:eastAsia="en-GB"/>
              </w:rPr>
              <w:t>the following R packages</w:t>
            </w:r>
            <w:r w:rsidRPr="00853D60">
              <w:rPr>
                <w:rFonts w:ascii="Times New Roman" w:hAnsi="Times New Roman" w:cs="Times New Roman"/>
                <w:color w:val="000000"/>
                <w:kern w:val="0"/>
                <w:sz w:val="18"/>
                <w:szCs w:val="18"/>
              </w:rPr>
              <w:t>,</w:t>
            </w:r>
            <w:r w:rsidRPr="00853D60">
              <w:rPr>
                <w:rFonts w:ascii="Times New Roman" w:eastAsia="Times New Roman" w:hAnsi="Times New Roman" w:cs="Times New Roman"/>
                <w:color w:val="000000"/>
                <w:kern w:val="0"/>
                <w:sz w:val="18"/>
                <w:szCs w:val="18"/>
                <w:lang w:eastAsia="en-GB"/>
              </w:rPr>
              <w:t xml:space="preserve"> TwoSampleMR, MR-PRESSO, Coloc, and MendelianRandomization, all of which are freely available on the official R website.</w:t>
            </w:r>
          </w:p>
        </w:tc>
      </w:tr>
      <w:tr w:rsidR="004B1FD0" w:rsidRPr="00853D60" w14:paraId="5CDF9022" w14:textId="77777777" w:rsidTr="005336AB">
        <w:tc>
          <w:tcPr>
            <w:tcW w:w="587" w:type="dxa"/>
            <w:tcBorders>
              <w:bottom w:val="single" w:sz="6" w:space="0" w:color="7F7F7F"/>
            </w:tcBorders>
            <w:shd w:val="clear" w:color="auto" w:fill="EEEEEE"/>
          </w:tcPr>
          <w:p w14:paraId="05A6975D"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Borders>
              <w:bottom w:val="single" w:sz="6" w:space="0" w:color="7F7F7F"/>
            </w:tcBorders>
            <w:shd w:val="clear" w:color="auto" w:fill="EEEEEE"/>
          </w:tcPr>
          <w:p w14:paraId="63098C58"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tcBorders>
              <w:bottom w:val="single" w:sz="6" w:space="0" w:color="7F7F7F"/>
            </w:tcBorders>
            <w:shd w:val="clear" w:color="auto" w:fill="EEEEEE"/>
          </w:tcPr>
          <w:p w14:paraId="005A09B4"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State whether the study protocol and details were pre-registered (as well as when and where)</w:t>
            </w:r>
          </w:p>
        </w:tc>
        <w:tc>
          <w:tcPr>
            <w:tcW w:w="1427" w:type="dxa"/>
            <w:tcBorders>
              <w:bottom w:val="single" w:sz="6" w:space="0" w:color="7F7F7F"/>
            </w:tcBorders>
            <w:shd w:val="clear" w:color="auto" w:fill="EEEEEE"/>
          </w:tcPr>
          <w:p w14:paraId="1932E9ED"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p>
        </w:tc>
        <w:tc>
          <w:tcPr>
            <w:tcW w:w="4168" w:type="dxa"/>
            <w:tcBorders>
              <w:bottom w:val="single" w:sz="6" w:space="0" w:color="7F7F7F"/>
            </w:tcBorders>
            <w:shd w:val="clear" w:color="auto" w:fill="EEEEEE"/>
          </w:tcPr>
          <w:p w14:paraId="5144F108"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study utilized public databases without prior registration of a research protocol.</w:t>
            </w:r>
          </w:p>
        </w:tc>
      </w:tr>
      <w:tr w:rsidR="004B1FD0" w:rsidRPr="00853D60" w14:paraId="27C388E4" w14:textId="77777777" w:rsidTr="005336AB">
        <w:tc>
          <w:tcPr>
            <w:tcW w:w="587" w:type="dxa"/>
            <w:tcBorders>
              <w:top w:val="single" w:sz="6" w:space="0" w:color="7F7F7F"/>
            </w:tcBorders>
          </w:tcPr>
          <w:p w14:paraId="07A95EA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p>
        </w:tc>
        <w:tc>
          <w:tcPr>
            <w:tcW w:w="1810" w:type="dxa"/>
            <w:tcBorders>
              <w:top w:val="single" w:sz="6" w:space="0" w:color="7F7F7F"/>
            </w:tcBorders>
          </w:tcPr>
          <w:p w14:paraId="07A17255"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RESULTS</w:t>
            </w:r>
          </w:p>
        </w:tc>
        <w:tc>
          <w:tcPr>
            <w:tcW w:w="6498" w:type="dxa"/>
            <w:tcBorders>
              <w:top w:val="single" w:sz="6" w:space="0" w:color="7F7F7F"/>
            </w:tcBorders>
          </w:tcPr>
          <w:p w14:paraId="57ABE0CC"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tcBorders>
              <w:top w:val="single" w:sz="6" w:space="0" w:color="7F7F7F"/>
            </w:tcBorders>
          </w:tcPr>
          <w:p w14:paraId="77DBDB9B"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tcBorders>
              <w:top w:val="single" w:sz="6" w:space="0" w:color="7F7F7F"/>
            </w:tcBorders>
          </w:tcPr>
          <w:p w14:paraId="4884BFEB"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787BA84B" w14:textId="77777777" w:rsidTr="005336AB">
        <w:tc>
          <w:tcPr>
            <w:tcW w:w="587" w:type="dxa"/>
            <w:shd w:val="clear" w:color="auto" w:fill="EEEEEE"/>
          </w:tcPr>
          <w:p w14:paraId="1367699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10</w:t>
            </w:r>
          </w:p>
        </w:tc>
        <w:tc>
          <w:tcPr>
            <w:tcW w:w="1810" w:type="dxa"/>
            <w:shd w:val="clear" w:color="auto" w:fill="EEEEEE"/>
          </w:tcPr>
          <w:p w14:paraId="014AD31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Descriptive data</w:t>
            </w:r>
          </w:p>
        </w:tc>
        <w:tc>
          <w:tcPr>
            <w:tcW w:w="6498" w:type="dxa"/>
            <w:shd w:val="clear" w:color="auto" w:fill="EEEEEE"/>
          </w:tcPr>
          <w:p w14:paraId="2E91289F"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shd w:val="clear" w:color="auto" w:fill="EEEEEE"/>
          </w:tcPr>
          <w:p w14:paraId="11D01AA2"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shd w:val="clear" w:color="auto" w:fill="EEEEEE"/>
          </w:tcPr>
          <w:p w14:paraId="779A60AC"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0A3DAE7C" w14:textId="77777777" w:rsidTr="005336AB">
        <w:tc>
          <w:tcPr>
            <w:tcW w:w="587" w:type="dxa"/>
          </w:tcPr>
          <w:p w14:paraId="3AF44CF1"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49389197"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tcPr>
          <w:p w14:paraId="1A36381B"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Report the numbers of individuals at each stage of included studies and reasons for exclusion. Consider use of a flow diagram</w:t>
            </w:r>
          </w:p>
        </w:tc>
        <w:tc>
          <w:tcPr>
            <w:tcW w:w="1427" w:type="dxa"/>
          </w:tcPr>
          <w:p w14:paraId="2D132D04"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Cambria" w:hAnsi="Times New Roman" w:cs="Times New Roman"/>
                <w:color w:val="000000"/>
                <w:kern w:val="0"/>
                <w:sz w:val="18"/>
                <w:szCs w:val="18"/>
                <w:lang w:eastAsia="en-US"/>
              </w:rPr>
              <w:t>Supplementary Table S1</w:t>
            </w:r>
            <w:r w:rsidRPr="00853D60">
              <w:rPr>
                <w:rFonts w:ascii="Times New Roman" w:hAnsi="Times New Roman" w:cs="Times New Roman"/>
                <w:color w:val="000000"/>
                <w:kern w:val="0"/>
                <w:sz w:val="18"/>
                <w:szCs w:val="18"/>
              </w:rPr>
              <w:t xml:space="preserve">, </w:t>
            </w:r>
            <w:r w:rsidRPr="00853D60">
              <w:rPr>
                <w:rFonts w:ascii="Times New Roman" w:eastAsia="Cambria" w:hAnsi="Times New Roman" w:cs="Times New Roman"/>
                <w:color w:val="000000"/>
                <w:kern w:val="0"/>
                <w:sz w:val="18"/>
                <w:szCs w:val="18"/>
                <w:lang w:eastAsia="en-US"/>
              </w:rPr>
              <w:t>Figure 1</w:t>
            </w:r>
          </w:p>
        </w:tc>
        <w:tc>
          <w:tcPr>
            <w:tcW w:w="4168" w:type="dxa"/>
          </w:tcPr>
          <w:p w14:paraId="53B2B7B0"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numbers of individuals is provided in Supplementary Table S1, and theflow diagram is presented in Figure 1.</w:t>
            </w:r>
          </w:p>
        </w:tc>
      </w:tr>
      <w:tr w:rsidR="004B1FD0" w:rsidRPr="00853D60" w14:paraId="7210FB13" w14:textId="77777777" w:rsidTr="005336AB">
        <w:tc>
          <w:tcPr>
            <w:tcW w:w="587" w:type="dxa"/>
            <w:shd w:val="clear" w:color="auto" w:fill="EEEEEE"/>
          </w:tcPr>
          <w:p w14:paraId="7B5B92D3"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031CA94F"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shd w:val="clear" w:color="auto" w:fill="EEEEEE"/>
          </w:tcPr>
          <w:p w14:paraId="7D97EA87"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Report summary statistics for phenotypic exposure(s), outcome(s), and other relevant variables (e.g. means, SDs, proportions)</w:t>
            </w:r>
          </w:p>
        </w:tc>
        <w:tc>
          <w:tcPr>
            <w:tcW w:w="1427" w:type="dxa"/>
            <w:shd w:val="clear" w:color="auto" w:fill="EEEEEE"/>
          </w:tcPr>
          <w:p w14:paraId="480D2B0A"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Cambria" w:hAnsi="Times New Roman" w:cs="Times New Roman"/>
                <w:color w:val="000000"/>
                <w:kern w:val="0"/>
                <w:sz w:val="18"/>
                <w:szCs w:val="18"/>
                <w:lang w:eastAsia="en-US"/>
              </w:rPr>
              <w:t>Supplementary Table S1</w:t>
            </w:r>
          </w:p>
        </w:tc>
        <w:tc>
          <w:tcPr>
            <w:tcW w:w="4168" w:type="dxa"/>
            <w:shd w:val="clear" w:color="auto" w:fill="EEEEEE"/>
          </w:tcPr>
          <w:p w14:paraId="3C390210"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The phenotypic characteristics of the exposures and outcomes can be found in the reference sources provided in Supplementary Table S1.</w:t>
            </w:r>
          </w:p>
        </w:tc>
      </w:tr>
      <w:tr w:rsidR="004B1FD0" w:rsidRPr="00853D60" w14:paraId="0B4133DD" w14:textId="77777777" w:rsidTr="005336AB">
        <w:tc>
          <w:tcPr>
            <w:tcW w:w="587" w:type="dxa"/>
          </w:tcPr>
          <w:p w14:paraId="107CEAE3"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234BB7FF"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c)</w:t>
            </w:r>
          </w:p>
        </w:tc>
        <w:tc>
          <w:tcPr>
            <w:tcW w:w="6498" w:type="dxa"/>
          </w:tcPr>
          <w:p w14:paraId="2ADE6796"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If the data sources include meta-analyses of previous studies, provide the assessments of heterogeneity across these studies</w:t>
            </w:r>
          </w:p>
        </w:tc>
        <w:tc>
          <w:tcPr>
            <w:tcW w:w="1427" w:type="dxa"/>
          </w:tcPr>
          <w:p w14:paraId="3138B6F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 S1</w:t>
            </w:r>
          </w:p>
        </w:tc>
        <w:tc>
          <w:tcPr>
            <w:tcW w:w="4168" w:type="dxa"/>
          </w:tcPr>
          <w:p w14:paraId="67CF0008"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The assessments of heterogeneity of the meta-analyses can be found in the reference sources provided in Supplementary Table S1.</w:t>
            </w:r>
          </w:p>
        </w:tc>
      </w:tr>
      <w:tr w:rsidR="004B1FD0" w:rsidRPr="00853D60" w14:paraId="2188832A" w14:textId="77777777" w:rsidTr="005336AB">
        <w:tc>
          <w:tcPr>
            <w:tcW w:w="587" w:type="dxa"/>
            <w:shd w:val="clear" w:color="auto" w:fill="EEEEEE"/>
          </w:tcPr>
          <w:p w14:paraId="5F6F498D"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4B657CC4"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d)</w:t>
            </w:r>
          </w:p>
        </w:tc>
        <w:tc>
          <w:tcPr>
            <w:tcW w:w="6498" w:type="dxa"/>
            <w:shd w:val="clear" w:color="auto" w:fill="EEEEEE"/>
          </w:tcPr>
          <w:p w14:paraId="0F703D2E"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 xml:space="preserve">For </w:t>
            </w:r>
            <w:r w:rsidRPr="00853D60">
              <w:rPr>
                <w:rFonts w:ascii="Times New Roman" w:eastAsia="Times New Roman" w:hAnsi="Times New Roman" w:cs="Times New Roman"/>
                <w:iCs/>
                <w:color w:val="000000"/>
                <w:kern w:val="0"/>
                <w:sz w:val="18"/>
                <w:szCs w:val="18"/>
                <w:lang w:eastAsia="en-GB"/>
              </w:rPr>
              <w:t>two-sample</w:t>
            </w:r>
            <w:r w:rsidRPr="00853D60">
              <w:rPr>
                <w:rFonts w:ascii="Times New Roman" w:eastAsia="Times New Roman" w:hAnsi="Times New Roman" w:cs="Times New Roman"/>
                <w:color w:val="000000"/>
                <w:kern w:val="0"/>
                <w:sz w:val="18"/>
                <w:szCs w:val="18"/>
                <w:lang w:eastAsia="en-GB"/>
              </w:rPr>
              <w:t xml:space="preserve"> MR:</w:t>
            </w:r>
          </w:p>
          <w:p w14:paraId="5FE7B63F"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 xml:space="preserve">   i.  Provide justification of the similarity of the genetic variant-exposure associations between the exposure and outcome samples</w:t>
            </w:r>
          </w:p>
          <w:p w14:paraId="574772FD"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 xml:space="preserve">   ii.  Provide information on the number of individuals who overlap between the exposure and outcome studies</w:t>
            </w:r>
          </w:p>
        </w:tc>
        <w:tc>
          <w:tcPr>
            <w:tcW w:w="1427" w:type="dxa"/>
            <w:shd w:val="clear" w:color="auto" w:fill="EEEEEE"/>
          </w:tcPr>
          <w:p w14:paraId="6B13478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 S1</w:t>
            </w:r>
          </w:p>
        </w:tc>
        <w:tc>
          <w:tcPr>
            <w:tcW w:w="4168" w:type="dxa"/>
            <w:shd w:val="clear" w:color="auto" w:fill="EEEEEE"/>
          </w:tcPr>
          <w:p w14:paraId="5DABC3EF"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In this two-sample MR study, all study populations were of European ancestry, thus minimizing population stratification bias. As no definitive sample overlap information was available, this aspect was not reported.</w:t>
            </w:r>
          </w:p>
        </w:tc>
      </w:tr>
      <w:tr w:rsidR="004B1FD0" w:rsidRPr="00853D60" w14:paraId="4E72D516" w14:textId="77777777" w:rsidTr="005336AB">
        <w:tc>
          <w:tcPr>
            <w:tcW w:w="587" w:type="dxa"/>
          </w:tcPr>
          <w:p w14:paraId="0D1CA5D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11</w:t>
            </w:r>
          </w:p>
        </w:tc>
        <w:tc>
          <w:tcPr>
            <w:tcW w:w="1810" w:type="dxa"/>
          </w:tcPr>
          <w:p w14:paraId="1F13232A"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Main results</w:t>
            </w:r>
          </w:p>
        </w:tc>
        <w:tc>
          <w:tcPr>
            <w:tcW w:w="6498" w:type="dxa"/>
          </w:tcPr>
          <w:p w14:paraId="3C38D7FA"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tcPr>
          <w:p w14:paraId="6BC263DD"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tcPr>
          <w:p w14:paraId="1B7E1185"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3354370C" w14:textId="77777777" w:rsidTr="005336AB">
        <w:tc>
          <w:tcPr>
            <w:tcW w:w="587" w:type="dxa"/>
            <w:shd w:val="clear" w:color="auto" w:fill="EEEEEE"/>
          </w:tcPr>
          <w:p w14:paraId="2665888E"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20348814"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shd w:val="clear" w:color="auto" w:fill="EEEEEE"/>
          </w:tcPr>
          <w:p w14:paraId="1A552E9A"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Report the associations between genetic variant and exposure, and between genetic variant and outcome, preferably on an interpretable scale</w:t>
            </w:r>
          </w:p>
        </w:tc>
        <w:tc>
          <w:tcPr>
            <w:tcW w:w="1427" w:type="dxa"/>
            <w:shd w:val="clear" w:color="auto" w:fill="EEEEEE"/>
          </w:tcPr>
          <w:p w14:paraId="50E97A6C"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eastAsia="Times New Roman" w:hAnsi="Times New Roman" w:cs="Times New Roman"/>
                <w:color w:val="000000"/>
                <w:kern w:val="0"/>
                <w:sz w:val="18"/>
                <w:szCs w:val="18"/>
                <w:lang w:eastAsia="en-GB"/>
              </w:rPr>
              <w:t>Supplementary Table S</w:t>
            </w:r>
            <w:r w:rsidRPr="00853D60">
              <w:rPr>
                <w:rFonts w:ascii="Times New Roman" w:hAnsi="Times New Roman" w:cs="Times New Roman"/>
                <w:color w:val="000000"/>
                <w:kern w:val="0"/>
                <w:sz w:val="18"/>
                <w:szCs w:val="18"/>
              </w:rPr>
              <w:t>3, S4</w:t>
            </w:r>
          </w:p>
        </w:tc>
        <w:tc>
          <w:tcPr>
            <w:tcW w:w="4168" w:type="dxa"/>
            <w:shd w:val="clear" w:color="auto" w:fill="EEEEEE"/>
          </w:tcPr>
          <w:p w14:paraId="280A6F15"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The relevant details of this item are reported in Supplementary Tables S3 and S4, including the instrumental variable (IV) SNPs, exposure-SNP associations, SNP-outcome associations, and statistical power.</w:t>
            </w:r>
          </w:p>
        </w:tc>
      </w:tr>
      <w:tr w:rsidR="004B1FD0" w:rsidRPr="00853D60" w14:paraId="32BDDD6F" w14:textId="77777777" w:rsidTr="005336AB">
        <w:tc>
          <w:tcPr>
            <w:tcW w:w="587" w:type="dxa"/>
          </w:tcPr>
          <w:p w14:paraId="40D08699"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1AC8811D"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tcPr>
          <w:p w14:paraId="190DEDBC"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Report MR estimates of the relationship between exposure and outcome, and the measures of uncertainty from the MR analysis, on an interpretable scale, such as odds ratio or relative risk per SD difference</w:t>
            </w:r>
          </w:p>
        </w:tc>
        <w:tc>
          <w:tcPr>
            <w:tcW w:w="1427" w:type="dxa"/>
          </w:tcPr>
          <w:p w14:paraId="4666019D"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 xml:space="preserve">9-11, </w:t>
            </w:r>
            <w:r w:rsidRPr="00853D60">
              <w:rPr>
                <w:rFonts w:ascii="Times New Roman" w:eastAsia="Times New Roman" w:hAnsi="Times New Roman" w:cs="Times New Roman"/>
                <w:color w:val="000000"/>
                <w:kern w:val="0"/>
                <w:sz w:val="18"/>
                <w:szCs w:val="18"/>
                <w:lang w:eastAsia="en-GB"/>
              </w:rPr>
              <w:t>Supplementary Table S5-10</w:t>
            </w:r>
          </w:p>
        </w:tc>
        <w:tc>
          <w:tcPr>
            <w:tcW w:w="4168" w:type="dxa"/>
          </w:tcPr>
          <w:p w14:paraId="5258C657"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eastAsia="Times New Roman" w:hAnsi="Times New Roman" w:cs="Times New Roman"/>
                <w:color w:val="000000"/>
                <w:kern w:val="0"/>
                <w:sz w:val="18"/>
                <w:szCs w:val="18"/>
              </w:rPr>
              <w:t>The Results section primarily focuses on the detailed characterization of these specific entries, e.g. “OHR (β = 0.12; 95% CI: 0.02-0.23; P = 2.36 × 10-2) and BMI-adjusted WHR (β = 0.046; 95% CI: 0.021-0.072; P = 3.18 × 10-4) were positively associated with HbA1c levels. Similarly, educational attainment (β = - 0.02; 95% CI: - 0.04 to - 0.01; P = 8.69 × 10-3) was inversely associated with TG levels, whereas BMI-adjusted WHR showed a strong positive association with TG (β = 0.34; 95% CI: 0.28-0.40; P = 5.89 × 10-32).”</w:t>
            </w:r>
          </w:p>
        </w:tc>
      </w:tr>
      <w:tr w:rsidR="004B1FD0" w:rsidRPr="00853D60" w14:paraId="6FBB3517" w14:textId="77777777" w:rsidTr="005336AB">
        <w:tc>
          <w:tcPr>
            <w:tcW w:w="587" w:type="dxa"/>
            <w:shd w:val="clear" w:color="auto" w:fill="EEEEEE"/>
          </w:tcPr>
          <w:p w14:paraId="38E4BF65"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3A8F57E3"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c)</w:t>
            </w:r>
          </w:p>
        </w:tc>
        <w:tc>
          <w:tcPr>
            <w:tcW w:w="6498" w:type="dxa"/>
            <w:shd w:val="clear" w:color="auto" w:fill="EEEEEE"/>
          </w:tcPr>
          <w:p w14:paraId="282B8345"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If relevant, consider translating estimates of relative risk into absolute risk for a meaningful time period</w:t>
            </w:r>
          </w:p>
        </w:tc>
        <w:tc>
          <w:tcPr>
            <w:tcW w:w="1427" w:type="dxa"/>
            <w:shd w:val="clear" w:color="auto" w:fill="EEEEEE"/>
          </w:tcPr>
          <w:p w14:paraId="2857C5CF"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p>
        </w:tc>
        <w:tc>
          <w:tcPr>
            <w:tcW w:w="4168" w:type="dxa"/>
            <w:shd w:val="clear" w:color="auto" w:fill="EEEEEE"/>
          </w:tcPr>
          <w:p w14:paraId="4A4C6493"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primary objective of this study was to screen risk factors, therefore no further transformations were performed.</w:t>
            </w:r>
          </w:p>
        </w:tc>
      </w:tr>
      <w:tr w:rsidR="004B1FD0" w:rsidRPr="00853D60" w14:paraId="4EB66B32" w14:textId="77777777" w:rsidTr="005336AB">
        <w:tc>
          <w:tcPr>
            <w:tcW w:w="587" w:type="dxa"/>
          </w:tcPr>
          <w:p w14:paraId="7BF09D73"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58D54CC5"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d)</w:t>
            </w:r>
          </w:p>
        </w:tc>
        <w:tc>
          <w:tcPr>
            <w:tcW w:w="6498" w:type="dxa"/>
          </w:tcPr>
          <w:p w14:paraId="09EF157C"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Consider plots to visualize results (e.g. forest plot, scatterplot of associations between genetic variants and outcome versus between genetic variants and exposure)</w:t>
            </w:r>
          </w:p>
        </w:tc>
        <w:tc>
          <w:tcPr>
            <w:tcW w:w="1427" w:type="dxa"/>
          </w:tcPr>
          <w:p w14:paraId="3417E973"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eastAsia="Times New Roman" w:hAnsi="Times New Roman" w:cs="Times New Roman"/>
                <w:color w:val="000000"/>
                <w:kern w:val="0"/>
                <w:sz w:val="18"/>
                <w:szCs w:val="18"/>
                <w:lang w:eastAsia="en-GB"/>
              </w:rPr>
              <w:t xml:space="preserve">Figure </w:t>
            </w:r>
            <w:r w:rsidRPr="00853D60">
              <w:rPr>
                <w:rFonts w:ascii="Times New Roman" w:hAnsi="Times New Roman" w:cs="Times New Roman"/>
                <w:color w:val="000000"/>
                <w:kern w:val="0"/>
                <w:sz w:val="18"/>
                <w:szCs w:val="18"/>
              </w:rPr>
              <w:t>7, 8,S1</w:t>
            </w:r>
          </w:p>
        </w:tc>
        <w:tc>
          <w:tcPr>
            <w:tcW w:w="4168" w:type="dxa"/>
          </w:tcPr>
          <w:p w14:paraId="1463AB7C"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analytical results were visualized using forest plots.</w:t>
            </w:r>
          </w:p>
        </w:tc>
      </w:tr>
      <w:tr w:rsidR="004B1FD0" w:rsidRPr="00853D60" w14:paraId="2F56CBE7" w14:textId="77777777" w:rsidTr="005336AB">
        <w:tc>
          <w:tcPr>
            <w:tcW w:w="587" w:type="dxa"/>
            <w:shd w:val="clear" w:color="auto" w:fill="EEEEEE"/>
          </w:tcPr>
          <w:p w14:paraId="473B2B04"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12</w:t>
            </w:r>
          </w:p>
        </w:tc>
        <w:tc>
          <w:tcPr>
            <w:tcW w:w="1810" w:type="dxa"/>
            <w:shd w:val="clear" w:color="auto" w:fill="EEEEEE"/>
          </w:tcPr>
          <w:p w14:paraId="43EE07BA"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Assessment of assumptions</w:t>
            </w:r>
          </w:p>
        </w:tc>
        <w:tc>
          <w:tcPr>
            <w:tcW w:w="6498" w:type="dxa"/>
            <w:shd w:val="clear" w:color="auto" w:fill="EEEEEE"/>
          </w:tcPr>
          <w:p w14:paraId="1DAB4B28"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shd w:val="clear" w:color="auto" w:fill="EEEEEE"/>
          </w:tcPr>
          <w:p w14:paraId="4F6EF62D"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shd w:val="clear" w:color="auto" w:fill="EEEEEE"/>
          </w:tcPr>
          <w:p w14:paraId="6EE7027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27B27C8C" w14:textId="77777777" w:rsidTr="005336AB">
        <w:tc>
          <w:tcPr>
            <w:tcW w:w="587" w:type="dxa"/>
          </w:tcPr>
          <w:p w14:paraId="2FD91EC8"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377EAB89"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tcPr>
          <w:p w14:paraId="1187682F"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Report the assessment of the validity of the assumptions</w:t>
            </w:r>
          </w:p>
        </w:tc>
        <w:tc>
          <w:tcPr>
            <w:tcW w:w="1427" w:type="dxa"/>
          </w:tcPr>
          <w:p w14:paraId="12B49C82"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 S</w:t>
            </w:r>
            <w:r w:rsidRPr="00853D60">
              <w:rPr>
                <w:rFonts w:ascii="Times New Roman" w:hAnsi="Times New Roman" w:cs="Times New Roman"/>
                <w:color w:val="000000"/>
                <w:kern w:val="0"/>
                <w:sz w:val="18"/>
                <w:szCs w:val="18"/>
              </w:rPr>
              <w:t>3-10</w:t>
            </w:r>
          </w:p>
        </w:tc>
        <w:tc>
          <w:tcPr>
            <w:tcW w:w="4168" w:type="dxa"/>
          </w:tcPr>
          <w:p w14:paraId="35E4DB0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 xml:space="preserve">The validity assessments of relevant hypotheses are reported throughout the main text and supplementary materials. Specifically, Supplementary Tables </w:t>
            </w:r>
            <w:r w:rsidRPr="00853D60">
              <w:rPr>
                <w:rFonts w:ascii="Times New Roman" w:hAnsi="Times New Roman" w:cs="Times New Roman"/>
                <w:color w:val="000000"/>
                <w:kern w:val="0"/>
                <w:sz w:val="18"/>
                <w:szCs w:val="18"/>
              </w:rPr>
              <w:t>S</w:t>
            </w:r>
            <w:r w:rsidRPr="00853D60">
              <w:rPr>
                <w:rFonts w:ascii="Times New Roman" w:eastAsia="Times New Roman" w:hAnsi="Times New Roman" w:cs="Times New Roman"/>
                <w:color w:val="000000"/>
                <w:kern w:val="0"/>
                <w:sz w:val="18"/>
                <w:szCs w:val="18"/>
                <w:lang w:eastAsia="en-GB"/>
              </w:rPr>
              <w:t xml:space="preserve">3 and </w:t>
            </w:r>
            <w:r w:rsidRPr="00853D60">
              <w:rPr>
                <w:rFonts w:ascii="Times New Roman" w:hAnsi="Times New Roman" w:cs="Times New Roman"/>
                <w:color w:val="000000"/>
                <w:kern w:val="0"/>
                <w:sz w:val="18"/>
                <w:szCs w:val="18"/>
              </w:rPr>
              <w:t>S</w:t>
            </w:r>
            <w:r w:rsidRPr="00853D60">
              <w:rPr>
                <w:rFonts w:ascii="Times New Roman" w:eastAsia="Times New Roman" w:hAnsi="Times New Roman" w:cs="Times New Roman"/>
                <w:color w:val="000000"/>
                <w:kern w:val="0"/>
                <w:sz w:val="18"/>
                <w:szCs w:val="18"/>
                <w:lang w:eastAsia="en-GB"/>
              </w:rPr>
              <w:t xml:space="preserve">4 present the statistical power of instrumental variables for each association, expressed as F-statistics. The heterogeneity of statistical models was examined using Q statistics and I² in Supplementary Tables </w:t>
            </w:r>
            <w:r w:rsidRPr="00853D60">
              <w:rPr>
                <w:rFonts w:ascii="Times New Roman" w:hAnsi="Times New Roman" w:cs="Times New Roman"/>
                <w:color w:val="000000"/>
                <w:kern w:val="0"/>
                <w:sz w:val="18"/>
                <w:szCs w:val="18"/>
              </w:rPr>
              <w:t>S</w:t>
            </w:r>
            <w:r w:rsidRPr="00853D60">
              <w:rPr>
                <w:rFonts w:ascii="Times New Roman" w:eastAsia="Times New Roman" w:hAnsi="Times New Roman" w:cs="Times New Roman"/>
                <w:color w:val="000000"/>
                <w:kern w:val="0"/>
                <w:sz w:val="18"/>
                <w:szCs w:val="18"/>
                <w:lang w:eastAsia="en-GB"/>
              </w:rPr>
              <w:t>5-10 to evaluate model stability.</w:t>
            </w:r>
          </w:p>
        </w:tc>
      </w:tr>
      <w:tr w:rsidR="004B1FD0" w:rsidRPr="00853D60" w14:paraId="2DB8C7C2" w14:textId="77777777" w:rsidTr="005336AB">
        <w:tc>
          <w:tcPr>
            <w:tcW w:w="587" w:type="dxa"/>
            <w:shd w:val="clear" w:color="auto" w:fill="EEEEEE"/>
          </w:tcPr>
          <w:p w14:paraId="0560CFC5"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6E0F61ED"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shd w:val="clear" w:color="auto" w:fill="EEEEEE"/>
          </w:tcPr>
          <w:p w14:paraId="5F2CA520"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 xml:space="preserve">Report any additional statistics (e.g., assessments of heterogeneity across genetic variants, such as </w:t>
            </w:r>
            <w:r w:rsidRPr="00853D60">
              <w:rPr>
                <w:rFonts w:ascii="Times New Roman" w:eastAsia="Times New Roman" w:hAnsi="Times New Roman" w:cs="Times New Roman"/>
                <w:i/>
                <w:color w:val="000000"/>
                <w:kern w:val="0"/>
                <w:sz w:val="18"/>
                <w:szCs w:val="18"/>
                <w:lang w:eastAsia="en-GB"/>
              </w:rPr>
              <w:t>I</w:t>
            </w:r>
            <w:r w:rsidRPr="00853D60">
              <w:rPr>
                <w:rFonts w:ascii="Times New Roman" w:eastAsia="Times New Roman" w:hAnsi="Times New Roman" w:cs="Times New Roman"/>
                <w:i/>
                <w:color w:val="000000"/>
                <w:kern w:val="0"/>
                <w:sz w:val="18"/>
                <w:szCs w:val="18"/>
                <w:vertAlign w:val="superscript"/>
                <w:lang w:eastAsia="en-GB"/>
              </w:rPr>
              <w:t>2</w:t>
            </w:r>
            <w:r w:rsidRPr="00853D60">
              <w:rPr>
                <w:rFonts w:ascii="Times New Roman" w:eastAsia="Times New Roman" w:hAnsi="Times New Roman" w:cs="Times New Roman"/>
                <w:color w:val="000000"/>
                <w:kern w:val="0"/>
                <w:sz w:val="18"/>
                <w:szCs w:val="18"/>
                <w:lang w:eastAsia="en-GB"/>
              </w:rPr>
              <w:t>, Q statistic or E-value)</w:t>
            </w:r>
          </w:p>
        </w:tc>
        <w:tc>
          <w:tcPr>
            <w:tcW w:w="1427" w:type="dxa"/>
            <w:shd w:val="clear" w:color="auto" w:fill="EEEEEE"/>
          </w:tcPr>
          <w:p w14:paraId="4EC7A958"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 S</w:t>
            </w:r>
            <w:r w:rsidRPr="00853D60">
              <w:rPr>
                <w:rFonts w:ascii="Times New Roman" w:hAnsi="Times New Roman" w:cs="Times New Roman"/>
                <w:color w:val="000000"/>
                <w:kern w:val="0"/>
                <w:sz w:val="18"/>
                <w:szCs w:val="18"/>
              </w:rPr>
              <w:t>5-10</w:t>
            </w:r>
          </w:p>
        </w:tc>
        <w:tc>
          <w:tcPr>
            <w:tcW w:w="4168" w:type="dxa"/>
            <w:shd w:val="clear" w:color="auto" w:fill="EEEEEE"/>
          </w:tcPr>
          <w:p w14:paraId="5CB88450"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The Q statistic and I² were employed to quantify the magnitude of heterogeneity across instrumental variable estimates of causal effects.</w:t>
            </w:r>
          </w:p>
        </w:tc>
      </w:tr>
      <w:tr w:rsidR="004B1FD0" w:rsidRPr="00853D60" w14:paraId="70E2D618" w14:textId="77777777" w:rsidTr="005336AB">
        <w:tc>
          <w:tcPr>
            <w:tcW w:w="587" w:type="dxa"/>
          </w:tcPr>
          <w:p w14:paraId="24D4170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13</w:t>
            </w:r>
          </w:p>
        </w:tc>
        <w:tc>
          <w:tcPr>
            <w:tcW w:w="1810" w:type="dxa"/>
          </w:tcPr>
          <w:p w14:paraId="778407D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Sensitivity analyses and additional analyses</w:t>
            </w:r>
          </w:p>
        </w:tc>
        <w:tc>
          <w:tcPr>
            <w:tcW w:w="6498" w:type="dxa"/>
          </w:tcPr>
          <w:p w14:paraId="1F2D819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tcPr>
          <w:p w14:paraId="2FD190F1"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tcPr>
          <w:p w14:paraId="15B2368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62D0E8E9" w14:textId="77777777" w:rsidTr="005336AB">
        <w:tc>
          <w:tcPr>
            <w:tcW w:w="587" w:type="dxa"/>
            <w:shd w:val="clear" w:color="auto" w:fill="EEEEEE"/>
          </w:tcPr>
          <w:p w14:paraId="493C5CFD"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2BC842EF"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shd w:val="clear" w:color="auto" w:fill="EEEEEE"/>
          </w:tcPr>
          <w:p w14:paraId="3CBC8951"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Report any sensitivity analyses to assess the robustness of the main results to violations of the assumptions</w:t>
            </w:r>
          </w:p>
        </w:tc>
        <w:tc>
          <w:tcPr>
            <w:tcW w:w="1427" w:type="dxa"/>
            <w:shd w:val="clear" w:color="auto" w:fill="EEEEEE"/>
          </w:tcPr>
          <w:p w14:paraId="27ECAEA3"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 xml:space="preserve">6, </w:t>
            </w:r>
            <w:r w:rsidRPr="00853D60">
              <w:rPr>
                <w:rFonts w:ascii="Times New Roman" w:eastAsia="Times New Roman" w:hAnsi="Times New Roman" w:cs="Times New Roman"/>
                <w:color w:val="000000"/>
                <w:kern w:val="0"/>
                <w:sz w:val="18"/>
                <w:szCs w:val="18"/>
                <w:lang w:eastAsia="en-GB"/>
              </w:rPr>
              <w:t>Supplementary Table S</w:t>
            </w:r>
            <w:r w:rsidRPr="00853D60">
              <w:rPr>
                <w:rFonts w:ascii="Times New Roman" w:hAnsi="Times New Roman" w:cs="Times New Roman"/>
                <w:color w:val="000000"/>
                <w:kern w:val="0"/>
                <w:sz w:val="18"/>
                <w:szCs w:val="18"/>
              </w:rPr>
              <w:t>5-10</w:t>
            </w:r>
          </w:p>
        </w:tc>
        <w:tc>
          <w:tcPr>
            <w:tcW w:w="4168" w:type="dxa"/>
            <w:shd w:val="clear" w:color="auto" w:fill="EEEEEE"/>
          </w:tcPr>
          <w:p w14:paraId="3DF45E42"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In this study, multiple sensitivity analyses were performed, including the weighted median method, MR-Egger regression, leave-one-out analysis, heterogeneity tests, and MR-PRESSO .</w:t>
            </w:r>
          </w:p>
        </w:tc>
      </w:tr>
      <w:tr w:rsidR="004B1FD0" w:rsidRPr="00853D60" w14:paraId="246B2229" w14:textId="77777777" w:rsidTr="005336AB">
        <w:tc>
          <w:tcPr>
            <w:tcW w:w="587" w:type="dxa"/>
          </w:tcPr>
          <w:p w14:paraId="038411CF"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7CABD988"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tcPr>
          <w:p w14:paraId="67C54478"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Report results from other sensitivity analyses or additional analyses</w:t>
            </w:r>
          </w:p>
        </w:tc>
        <w:tc>
          <w:tcPr>
            <w:tcW w:w="1427" w:type="dxa"/>
          </w:tcPr>
          <w:p w14:paraId="15E0986C"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Supplementary Table S</w:t>
            </w:r>
            <w:r w:rsidRPr="00853D60">
              <w:rPr>
                <w:rFonts w:ascii="Times New Roman" w:hAnsi="Times New Roman" w:cs="Times New Roman"/>
                <w:color w:val="000000"/>
                <w:kern w:val="0"/>
                <w:sz w:val="18"/>
                <w:szCs w:val="18"/>
              </w:rPr>
              <w:t>5-</w:t>
            </w:r>
            <w:r w:rsidRPr="00853D60">
              <w:rPr>
                <w:rFonts w:ascii="Times New Roman" w:eastAsia="Times New Roman" w:hAnsi="Times New Roman" w:cs="Times New Roman"/>
                <w:color w:val="000000"/>
                <w:kern w:val="0"/>
                <w:sz w:val="18"/>
                <w:szCs w:val="18"/>
                <w:lang w:eastAsia="en-GB"/>
              </w:rPr>
              <w:t>12</w:t>
            </w:r>
          </w:p>
        </w:tc>
        <w:tc>
          <w:tcPr>
            <w:tcW w:w="4168" w:type="dxa"/>
          </w:tcPr>
          <w:p w14:paraId="64441F2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hAnsi="Times New Roman" w:cs="Times New Roman"/>
                <w:color w:val="000000"/>
                <w:kern w:val="0"/>
                <w:sz w:val="18"/>
                <w:szCs w:val="18"/>
              </w:rPr>
              <w:t>Additional analytical results, including leave-one-out analysis , FDR corrections and and other analyses, are reported in the Supplementary Tables of this study.</w:t>
            </w:r>
          </w:p>
        </w:tc>
      </w:tr>
      <w:tr w:rsidR="004B1FD0" w:rsidRPr="00853D60" w14:paraId="656162CC" w14:textId="77777777" w:rsidTr="005336AB">
        <w:tc>
          <w:tcPr>
            <w:tcW w:w="587" w:type="dxa"/>
            <w:shd w:val="clear" w:color="auto" w:fill="EEEEEE"/>
          </w:tcPr>
          <w:p w14:paraId="3D0A4B52"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4EF86D1E"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c)</w:t>
            </w:r>
          </w:p>
        </w:tc>
        <w:tc>
          <w:tcPr>
            <w:tcW w:w="6498" w:type="dxa"/>
            <w:shd w:val="clear" w:color="auto" w:fill="EEEEEE"/>
          </w:tcPr>
          <w:p w14:paraId="2B7EFA0E"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Report any assessment of direction of causal relationship (e.g., bidirectional MR)</w:t>
            </w:r>
          </w:p>
        </w:tc>
        <w:tc>
          <w:tcPr>
            <w:tcW w:w="1427" w:type="dxa"/>
            <w:shd w:val="clear" w:color="auto" w:fill="EEEEEE"/>
          </w:tcPr>
          <w:p w14:paraId="414BC2FA"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eastAsia="Times New Roman" w:hAnsi="Times New Roman" w:cs="Times New Roman"/>
                <w:color w:val="000000"/>
                <w:kern w:val="0"/>
                <w:sz w:val="18"/>
                <w:szCs w:val="18"/>
                <w:lang w:eastAsia="en-GB"/>
              </w:rPr>
              <w:t>Supplementary Table S</w:t>
            </w:r>
            <w:r w:rsidRPr="00853D60">
              <w:rPr>
                <w:rFonts w:ascii="Times New Roman" w:hAnsi="Times New Roman" w:cs="Times New Roman"/>
                <w:color w:val="000000"/>
                <w:kern w:val="0"/>
                <w:sz w:val="18"/>
                <w:szCs w:val="18"/>
              </w:rPr>
              <w:t>5-10</w:t>
            </w:r>
          </w:p>
        </w:tc>
        <w:tc>
          <w:tcPr>
            <w:tcW w:w="4168" w:type="dxa"/>
            <w:shd w:val="clear" w:color="auto" w:fill="EEEEEE"/>
          </w:tcPr>
          <w:p w14:paraId="1283CD23"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For each significantly associated exposure-outcome pair, bidirectional MR analysis was performed.</w:t>
            </w:r>
          </w:p>
        </w:tc>
      </w:tr>
      <w:tr w:rsidR="004B1FD0" w:rsidRPr="00853D60" w14:paraId="1CCF3EBC" w14:textId="77777777" w:rsidTr="005336AB">
        <w:tc>
          <w:tcPr>
            <w:tcW w:w="587" w:type="dxa"/>
          </w:tcPr>
          <w:p w14:paraId="641816F5"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0B358F99"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d)</w:t>
            </w:r>
          </w:p>
        </w:tc>
        <w:tc>
          <w:tcPr>
            <w:tcW w:w="6498" w:type="dxa"/>
          </w:tcPr>
          <w:p w14:paraId="20D284D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When relevant, report and compare with estimates from non-MR analyses</w:t>
            </w:r>
          </w:p>
        </w:tc>
        <w:tc>
          <w:tcPr>
            <w:tcW w:w="1427" w:type="dxa"/>
          </w:tcPr>
          <w:p w14:paraId="473F4F60"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p>
        </w:tc>
        <w:tc>
          <w:tcPr>
            <w:tcW w:w="4168" w:type="dxa"/>
          </w:tcPr>
          <w:p w14:paraId="62D4E7D8"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No other verifications have been conducted yet.</w:t>
            </w:r>
          </w:p>
        </w:tc>
      </w:tr>
      <w:tr w:rsidR="004B1FD0" w:rsidRPr="00853D60" w14:paraId="6900376C" w14:textId="77777777" w:rsidTr="005336AB">
        <w:tc>
          <w:tcPr>
            <w:tcW w:w="587" w:type="dxa"/>
            <w:tcBorders>
              <w:bottom w:val="single" w:sz="6" w:space="0" w:color="7F7F7F"/>
            </w:tcBorders>
            <w:shd w:val="clear" w:color="auto" w:fill="EEEEEE"/>
          </w:tcPr>
          <w:p w14:paraId="55A67009"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Borders>
              <w:bottom w:val="single" w:sz="6" w:space="0" w:color="7F7F7F"/>
            </w:tcBorders>
            <w:shd w:val="clear" w:color="auto" w:fill="EEEEEE"/>
          </w:tcPr>
          <w:p w14:paraId="6D24FCE2"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e)</w:t>
            </w:r>
          </w:p>
        </w:tc>
        <w:tc>
          <w:tcPr>
            <w:tcW w:w="6498" w:type="dxa"/>
            <w:tcBorders>
              <w:bottom w:val="single" w:sz="6" w:space="0" w:color="7F7F7F"/>
            </w:tcBorders>
            <w:shd w:val="clear" w:color="auto" w:fill="EEEEEE"/>
          </w:tcPr>
          <w:p w14:paraId="3F064E5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Consider additional plots to visualize results (e.g., leave-one-out analyses)</w:t>
            </w:r>
          </w:p>
        </w:tc>
        <w:tc>
          <w:tcPr>
            <w:tcW w:w="1427" w:type="dxa"/>
            <w:tcBorders>
              <w:bottom w:val="single" w:sz="6" w:space="0" w:color="7F7F7F"/>
            </w:tcBorders>
            <w:shd w:val="clear" w:color="auto" w:fill="EEEEEE"/>
          </w:tcPr>
          <w:p w14:paraId="6FF8D465"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eastAsia="Times New Roman" w:hAnsi="Times New Roman" w:cs="Times New Roman"/>
                <w:color w:val="000000"/>
                <w:kern w:val="0"/>
                <w:sz w:val="18"/>
                <w:szCs w:val="18"/>
                <w:lang w:eastAsia="en-GB"/>
              </w:rPr>
              <w:t>Supplementary Table S</w:t>
            </w:r>
            <w:r w:rsidRPr="00853D60">
              <w:rPr>
                <w:rFonts w:ascii="Times New Roman" w:hAnsi="Times New Roman" w:cs="Times New Roman"/>
                <w:color w:val="000000"/>
                <w:kern w:val="0"/>
                <w:sz w:val="18"/>
                <w:szCs w:val="18"/>
              </w:rPr>
              <w:t>12</w:t>
            </w:r>
          </w:p>
        </w:tc>
        <w:tc>
          <w:tcPr>
            <w:tcW w:w="4168" w:type="dxa"/>
            <w:tcBorders>
              <w:bottom w:val="single" w:sz="6" w:space="0" w:color="7F7F7F"/>
            </w:tcBorders>
            <w:shd w:val="clear" w:color="auto" w:fill="EEEEEE"/>
          </w:tcPr>
          <w:p w14:paraId="37F910A4"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 xml:space="preserve">The </w:t>
            </w:r>
            <w:r w:rsidRPr="00853D60">
              <w:rPr>
                <w:rFonts w:ascii="Times New Roman" w:eastAsia="Times New Roman" w:hAnsi="Times New Roman" w:cs="Times New Roman"/>
                <w:color w:val="000000"/>
                <w:kern w:val="0"/>
                <w:sz w:val="18"/>
                <w:szCs w:val="18"/>
                <w:lang w:eastAsia="en-GB"/>
              </w:rPr>
              <w:t>leave-one-out analyses</w:t>
            </w:r>
            <w:r w:rsidRPr="00853D60">
              <w:rPr>
                <w:rFonts w:ascii="Times New Roman" w:hAnsi="Times New Roman" w:cs="Times New Roman"/>
                <w:color w:val="000000"/>
                <w:kern w:val="0"/>
                <w:sz w:val="18"/>
                <w:szCs w:val="18"/>
              </w:rPr>
              <w:t xml:space="preserve"> table was showed in Supplementary Table S12.</w:t>
            </w:r>
          </w:p>
        </w:tc>
      </w:tr>
      <w:tr w:rsidR="004B1FD0" w:rsidRPr="00853D60" w14:paraId="54DAEB56" w14:textId="77777777" w:rsidTr="005336AB">
        <w:tc>
          <w:tcPr>
            <w:tcW w:w="587" w:type="dxa"/>
            <w:tcBorders>
              <w:top w:val="single" w:sz="6" w:space="0" w:color="7F7F7F"/>
            </w:tcBorders>
          </w:tcPr>
          <w:p w14:paraId="485B0DE4"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p>
        </w:tc>
        <w:tc>
          <w:tcPr>
            <w:tcW w:w="1810" w:type="dxa"/>
            <w:tcBorders>
              <w:top w:val="single" w:sz="6" w:space="0" w:color="7F7F7F"/>
            </w:tcBorders>
          </w:tcPr>
          <w:p w14:paraId="6830ADA1"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DISCUSSION</w:t>
            </w:r>
          </w:p>
        </w:tc>
        <w:tc>
          <w:tcPr>
            <w:tcW w:w="6498" w:type="dxa"/>
            <w:tcBorders>
              <w:top w:val="single" w:sz="6" w:space="0" w:color="7F7F7F"/>
            </w:tcBorders>
          </w:tcPr>
          <w:p w14:paraId="2E81F678"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tcBorders>
              <w:top w:val="single" w:sz="6" w:space="0" w:color="7F7F7F"/>
            </w:tcBorders>
          </w:tcPr>
          <w:p w14:paraId="4AD93289"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tcBorders>
              <w:top w:val="single" w:sz="6" w:space="0" w:color="7F7F7F"/>
            </w:tcBorders>
          </w:tcPr>
          <w:p w14:paraId="09747C8D"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75924FDC" w14:textId="77777777" w:rsidTr="005336AB">
        <w:tc>
          <w:tcPr>
            <w:tcW w:w="587" w:type="dxa"/>
            <w:shd w:val="clear" w:color="auto" w:fill="EEEEEE"/>
          </w:tcPr>
          <w:p w14:paraId="6D833255"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14</w:t>
            </w:r>
          </w:p>
        </w:tc>
        <w:tc>
          <w:tcPr>
            <w:tcW w:w="1810" w:type="dxa"/>
            <w:shd w:val="clear" w:color="auto" w:fill="EEEEEE"/>
          </w:tcPr>
          <w:p w14:paraId="5D2EDCE4"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Key results </w:t>
            </w:r>
          </w:p>
        </w:tc>
        <w:tc>
          <w:tcPr>
            <w:tcW w:w="6498" w:type="dxa"/>
            <w:shd w:val="clear" w:color="auto" w:fill="EEEEEE"/>
          </w:tcPr>
          <w:p w14:paraId="69DCF3F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Summarize key results with reference to study objectives</w:t>
            </w:r>
          </w:p>
        </w:tc>
        <w:tc>
          <w:tcPr>
            <w:tcW w:w="1427" w:type="dxa"/>
            <w:shd w:val="clear" w:color="auto" w:fill="EEEEEE"/>
          </w:tcPr>
          <w:p w14:paraId="5C881C1A"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13-16</w:t>
            </w:r>
          </w:p>
        </w:tc>
        <w:tc>
          <w:tcPr>
            <w:tcW w:w="4168" w:type="dxa"/>
            <w:shd w:val="clear" w:color="auto" w:fill="EEEEEE"/>
          </w:tcPr>
          <w:p w14:paraId="6CAAF553"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eastAsia="Times New Roman" w:hAnsi="Times New Roman" w:cs="Times New Roman"/>
                <w:color w:val="000000"/>
                <w:kern w:val="0"/>
                <w:sz w:val="18"/>
                <w:szCs w:val="18"/>
                <w:lang w:eastAsia="en-GB"/>
              </w:rPr>
              <w:t>All exposures were summarized prior to further discussion</w:t>
            </w:r>
            <w:r w:rsidRPr="00853D60">
              <w:rPr>
                <w:rFonts w:ascii="Times New Roman" w:hAnsi="Times New Roman" w:cs="Times New Roman"/>
                <w:color w:val="000000"/>
                <w:kern w:val="0"/>
                <w:sz w:val="18"/>
                <w:szCs w:val="18"/>
              </w:rPr>
              <w:t>, e.g. “Th</w:t>
            </w:r>
            <w:r w:rsidRPr="00853D60">
              <w:rPr>
                <w:rFonts w:ascii="Times New Roman" w:eastAsia="Times New Roman" w:hAnsi="Times New Roman" w:cs="Times New Roman"/>
                <w:color w:val="000000"/>
                <w:kern w:val="0"/>
                <w:sz w:val="18"/>
                <w:szCs w:val="18"/>
                <w:lang w:eastAsia="en-GB"/>
              </w:rPr>
              <w:t>e MR method indicated a positive association between poor self-rated health and infertility risk, suggesting that overall health status may play a critical role in reproductive outcomes.</w:t>
            </w:r>
            <w:r w:rsidRPr="00853D60">
              <w:rPr>
                <w:rFonts w:ascii="Times New Roman" w:hAnsi="Times New Roman" w:cs="Times New Roman"/>
                <w:color w:val="000000"/>
                <w:kern w:val="0"/>
                <w:sz w:val="18"/>
                <w:szCs w:val="18"/>
              </w:rPr>
              <w:t>”</w:t>
            </w:r>
          </w:p>
        </w:tc>
      </w:tr>
      <w:tr w:rsidR="004B1FD0" w:rsidRPr="00853D60" w14:paraId="28E93C55" w14:textId="77777777" w:rsidTr="005336AB">
        <w:tc>
          <w:tcPr>
            <w:tcW w:w="587" w:type="dxa"/>
          </w:tcPr>
          <w:p w14:paraId="090E9B8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15</w:t>
            </w:r>
          </w:p>
        </w:tc>
        <w:tc>
          <w:tcPr>
            <w:tcW w:w="1810" w:type="dxa"/>
          </w:tcPr>
          <w:p w14:paraId="1071D74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Limitations</w:t>
            </w:r>
          </w:p>
        </w:tc>
        <w:tc>
          <w:tcPr>
            <w:tcW w:w="6498" w:type="dxa"/>
          </w:tcPr>
          <w:p w14:paraId="7A5C5F9C"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Discuss limitations of the study, taking into account the validity of the IV assumptions, other sources of potential bias, and imprecision. Discuss both direction and magnitude of any potential bias and any efforts to address them </w:t>
            </w:r>
          </w:p>
        </w:tc>
        <w:tc>
          <w:tcPr>
            <w:tcW w:w="1427" w:type="dxa"/>
          </w:tcPr>
          <w:p w14:paraId="44CCD2F1"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15-16</w:t>
            </w:r>
          </w:p>
        </w:tc>
        <w:tc>
          <w:tcPr>
            <w:tcW w:w="4168" w:type="dxa"/>
          </w:tcPr>
          <w:p w14:paraId="00C5375B"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study limitations were discussed in detail regarding data sources, three key assumptions, and analytical procedures.</w:t>
            </w:r>
          </w:p>
        </w:tc>
      </w:tr>
      <w:tr w:rsidR="004B1FD0" w:rsidRPr="00853D60" w14:paraId="65AC3B12" w14:textId="77777777" w:rsidTr="005336AB">
        <w:tc>
          <w:tcPr>
            <w:tcW w:w="587" w:type="dxa"/>
            <w:shd w:val="clear" w:color="auto" w:fill="EEEEEE"/>
          </w:tcPr>
          <w:p w14:paraId="16BC4B0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16</w:t>
            </w:r>
          </w:p>
        </w:tc>
        <w:tc>
          <w:tcPr>
            <w:tcW w:w="1810" w:type="dxa"/>
            <w:shd w:val="clear" w:color="auto" w:fill="EEEEEE"/>
          </w:tcPr>
          <w:p w14:paraId="5097B2E2"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Interpretation</w:t>
            </w:r>
          </w:p>
        </w:tc>
        <w:tc>
          <w:tcPr>
            <w:tcW w:w="6498" w:type="dxa"/>
            <w:shd w:val="clear" w:color="auto" w:fill="EEEEEE"/>
          </w:tcPr>
          <w:p w14:paraId="66B66E0A"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shd w:val="clear" w:color="auto" w:fill="EEEEEE"/>
          </w:tcPr>
          <w:p w14:paraId="7FA8675F"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shd w:val="clear" w:color="auto" w:fill="EEEEEE"/>
          </w:tcPr>
          <w:p w14:paraId="7A929D5F"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21413418" w14:textId="77777777" w:rsidTr="005336AB">
        <w:tc>
          <w:tcPr>
            <w:tcW w:w="587" w:type="dxa"/>
          </w:tcPr>
          <w:p w14:paraId="1B632198"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450C87F4"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a)</w:t>
            </w:r>
          </w:p>
        </w:tc>
        <w:tc>
          <w:tcPr>
            <w:tcW w:w="6498" w:type="dxa"/>
          </w:tcPr>
          <w:p w14:paraId="0CC87D47"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Meaning: Give a cautious overall interpretation of results in the context of their limitations and in comparison with other studies</w:t>
            </w:r>
          </w:p>
        </w:tc>
        <w:tc>
          <w:tcPr>
            <w:tcW w:w="1427" w:type="dxa"/>
          </w:tcPr>
          <w:p w14:paraId="027AB3E9"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13-15</w:t>
            </w:r>
          </w:p>
        </w:tc>
        <w:tc>
          <w:tcPr>
            <w:tcW w:w="4168" w:type="dxa"/>
          </w:tcPr>
          <w:p w14:paraId="38549E14"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MR results were rationally interpreted through comparison with multiple published studies.</w:t>
            </w:r>
          </w:p>
        </w:tc>
      </w:tr>
      <w:tr w:rsidR="004B1FD0" w:rsidRPr="00853D60" w14:paraId="61370774" w14:textId="77777777" w:rsidTr="005336AB">
        <w:tc>
          <w:tcPr>
            <w:tcW w:w="587" w:type="dxa"/>
            <w:shd w:val="clear" w:color="auto" w:fill="EEEEEE"/>
          </w:tcPr>
          <w:p w14:paraId="5D784A7E"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shd w:val="clear" w:color="auto" w:fill="EEEEEE"/>
          </w:tcPr>
          <w:p w14:paraId="6ACEB271"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b)</w:t>
            </w:r>
          </w:p>
        </w:tc>
        <w:tc>
          <w:tcPr>
            <w:tcW w:w="6498" w:type="dxa"/>
            <w:shd w:val="clear" w:color="auto" w:fill="EEEEEE"/>
          </w:tcPr>
          <w:p w14:paraId="16A07DC2"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 xml:space="preserve">Mechanism: Discuss underlying biological mechanisms that could drive a potential causal relationship between the investigated exposure and the outcome, and whether the gene-environment equivalence assumption is reasonable. Use causal language carefully, clarifying that IV estimates may provide causal effects only under certain assumptions </w:t>
            </w:r>
          </w:p>
        </w:tc>
        <w:tc>
          <w:tcPr>
            <w:tcW w:w="1427" w:type="dxa"/>
            <w:shd w:val="clear" w:color="auto" w:fill="EEEEEE"/>
          </w:tcPr>
          <w:p w14:paraId="260533C0"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13-16</w:t>
            </w:r>
          </w:p>
        </w:tc>
        <w:tc>
          <w:tcPr>
            <w:tcW w:w="4168" w:type="dxa"/>
            <w:shd w:val="clear" w:color="auto" w:fill="EEEEEE"/>
          </w:tcPr>
          <w:p w14:paraId="309F1009"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Potential associated biological mechanisms were characterized.</w:t>
            </w:r>
          </w:p>
        </w:tc>
      </w:tr>
      <w:tr w:rsidR="004B1FD0" w:rsidRPr="00853D60" w14:paraId="2CF89EF1" w14:textId="77777777" w:rsidTr="005336AB">
        <w:tc>
          <w:tcPr>
            <w:tcW w:w="587" w:type="dxa"/>
          </w:tcPr>
          <w:p w14:paraId="1725D358"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b/>
                <w:bCs/>
                <w:color w:val="000000"/>
                <w:kern w:val="0"/>
                <w:sz w:val="18"/>
                <w:szCs w:val="18"/>
                <w:lang w:eastAsia="en-US"/>
              </w:rPr>
            </w:pPr>
          </w:p>
        </w:tc>
        <w:tc>
          <w:tcPr>
            <w:tcW w:w="1810" w:type="dxa"/>
          </w:tcPr>
          <w:p w14:paraId="2129A785" w14:textId="77777777" w:rsidR="004B1FD0" w:rsidRPr="00853D60" w:rsidRDefault="004B1FD0" w:rsidP="005336AB">
            <w:pPr>
              <w:widowControl/>
              <w:spacing w:beforeLines="40" w:before="96" w:afterLines="40" w:after="96" w:line="24" w:lineRule="atLeast"/>
              <w:jc w:val="right"/>
              <w:rPr>
                <w:rFonts w:ascii="Times New Roman" w:eastAsia="Cambria" w:hAnsi="Times New Roman" w:cs="Times New Roman"/>
                <w:color w:val="000000"/>
                <w:kern w:val="0"/>
                <w:sz w:val="18"/>
                <w:szCs w:val="18"/>
                <w:lang w:eastAsia="en-US"/>
              </w:rPr>
            </w:pPr>
            <w:r w:rsidRPr="00853D60">
              <w:rPr>
                <w:rFonts w:ascii="Times New Roman" w:eastAsia="Cambria" w:hAnsi="Times New Roman" w:cs="Times New Roman"/>
                <w:color w:val="000000"/>
                <w:kern w:val="0"/>
                <w:sz w:val="18"/>
                <w:szCs w:val="18"/>
                <w:lang w:eastAsia="en-US"/>
              </w:rPr>
              <w:t>c)</w:t>
            </w:r>
          </w:p>
        </w:tc>
        <w:tc>
          <w:tcPr>
            <w:tcW w:w="6498" w:type="dxa"/>
          </w:tcPr>
          <w:p w14:paraId="560C56E8" w14:textId="77777777" w:rsidR="004B1FD0" w:rsidRPr="00853D60" w:rsidRDefault="004B1FD0" w:rsidP="005336AB">
            <w:pPr>
              <w:widowControl/>
              <w:tabs>
                <w:tab w:val="left" w:pos="1350"/>
              </w:tabs>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Clinical relevance: Discuss whether the results have clinical or public policy relevance, and to what extent they inform effect sizes of possible interventions</w:t>
            </w:r>
          </w:p>
        </w:tc>
        <w:tc>
          <w:tcPr>
            <w:tcW w:w="1427" w:type="dxa"/>
          </w:tcPr>
          <w:p w14:paraId="326EE7F6" w14:textId="77777777" w:rsidR="004B1FD0" w:rsidRPr="00853D60" w:rsidRDefault="004B1FD0" w:rsidP="005336AB">
            <w:pPr>
              <w:widowControl/>
              <w:tabs>
                <w:tab w:val="left" w:pos="1350"/>
              </w:tabs>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16</w:t>
            </w:r>
          </w:p>
        </w:tc>
        <w:tc>
          <w:tcPr>
            <w:tcW w:w="4168" w:type="dxa"/>
          </w:tcPr>
          <w:p w14:paraId="63C58E80" w14:textId="77777777" w:rsidR="004B1FD0" w:rsidRPr="00853D60" w:rsidRDefault="004B1FD0" w:rsidP="005336AB">
            <w:pPr>
              <w:widowControl/>
              <w:tabs>
                <w:tab w:val="left" w:pos="1350"/>
              </w:tabs>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This study incorporates and describes findings from the Global Burden of Disease (GBD) dataset. “Health promotion strategies ought to incorporate lifestyle counseling targeting modifiable risk factors, including weight management, sleep hygiene, and metabolic health. For high-risk populations, such as those with abdominal obesity or metabolic syndrome, routine reproductive health screenings could be expanded to include metabolic biomarkers such as HbA1c and lipid profiles. Finally, integrating mental health support into fertility care is essential. ”</w:t>
            </w:r>
          </w:p>
        </w:tc>
      </w:tr>
      <w:tr w:rsidR="004B1FD0" w:rsidRPr="00853D60" w14:paraId="009A2FFB" w14:textId="77777777" w:rsidTr="005336AB">
        <w:tc>
          <w:tcPr>
            <w:tcW w:w="587" w:type="dxa"/>
            <w:tcBorders>
              <w:bottom w:val="single" w:sz="6" w:space="0" w:color="7F7F7F"/>
            </w:tcBorders>
            <w:shd w:val="clear" w:color="auto" w:fill="EEEEEE"/>
          </w:tcPr>
          <w:p w14:paraId="58F6403E"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17</w:t>
            </w:r>
          </w:p>
        </w:tc>
        <w:tc>
          <w:tcPr>
            <w:tcW w:w="1810" w:type="dxa"/>
            <w:tcBorders>
              <w:bottom w:val="single" w:sz="6" w:space="0" w:color="7F7F7F"/>
            </w:tcBorders>
            <w:shd w:val="clear" w:color="auto" w:fill="EEEEEE"/>
          </w:tcPr>
          <w:p w14:paraId="7A0B694E"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 xml:space="preserve">Generalizability  </w:t>
            </w:r>
            <w:r w:rsidRPr="00853D60">
              <w:rPr>
                <w:rFonts w:ascii="Times New Roman" w:eastAsia="Times New Roman" w:hAnsi="Times New Roman" w:cs="Times New Roman"/>
                <w:color w:val="000000"/>
                <w:kern w:val="0"/>
                <w:sz w:val="18"/>
                <w:szCs w:val="18"/>
                <w:lang w:eastAsia="en-GB"/>
              </w:rPr>
              <w:t> </w:t>
            </w:r>
          </w:p>
        </w:tc>
        <w:tc>
          <w:tcPr>
            <w:tcW w:w="6498" w:type="dxa"/>
            <w:tcBorders>
              <w:bottom w:val="single" w:sz="6" w:space="0" w:color="7F7F7F"/>
            </w:tcBorders>
            <w:shd w:val="clear" w:color="auto" w:fill="EEEEEE"/>
          </w:tcPr>
          <w:p w14:paraId="22D3CCEC"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color w:val="000000"/>
                <w:kern w:val="0"/>
                <w:sz w:val="18"/>
                <w:szCs w:val="18"/>
                <w:lang w:eastAsia="en-GB"/>
              </w:rPr>
              <w:t>Discuss the generalizability of the study results (a) to other populations, (b) across other exposure periods/timings, and (c) across other levels of exposure</w:t>
            </w:r>
          </w:p>
        </w:tc>
        <w:tc>
          <w:tcPr>
            <w:tcW w:w="1427" w:type="dxa"/>
            <w:tcBorders>
              <w:bottom w:val="single" w:sz="6" w:space="0" w:color="7F7F7F"/>
            </w:tcBorders>
            <w:shd w:val="clear" w:color="auto" w:fill="EEEEEE"/>
          </w:tcPr>
          <w:p w14:paraId="32694FAE"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16</w:t>
            </w:r>
          </w:p>
        </w:tc>
        <w:tc>
          <w:tcPr>
            <w:tcW w:w="4168" w:type="dxa"/>
            <w:tcBorders>
              <w:bottom w:val="single" w:sz="6" w:space="0" w:color="7F7F7F"/>
            </w:tcBorders>
            <w:shd w:val="clear" w:color="auto" w:fill="EEEEEE"/>
          </w:tcPr>
          <w:p w14:paraId="0D2286CD"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The discussion in the text specifically addresses populations of European ancestry, and the generalizability to other populations requires further investigation.</w:t>
            </w:r>
          </w:p>
        </w:tc>
      </w:tr>
      <w:tr w:rsidR="004B1FD0" w:rsidRPr="00853D60" w14:paraId="61A49D68" w14:textId="77777777" w:rsidTr="005336AB">
        <w:tc>
          <w:tcPr>
            <w:tcW w:w="587" w:type="dxa"/>
            <w:tcBorders>
              <w:top w:val="single" w:sz="6" w:space="0" w:color="7F7F7F"/>
            </w:tcBorders>
          </w:tcPr>
          <w:p w14:paraId="362F6AEE"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p>
        </w:tc>
        <w:tc>
          <w:tcPr>
            <w:tcW w:w="1810" w:type="dxa"/>
            <w:tcBorders>
              <w:top w:val="single" w:sz="6" w:space="0" w:color="7F7F7F"/>
            </w:tcBorders>
          </w:tcPr>
          <w:p w14:paraId="5425EF8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OTHER INFORMATION</w:t>
            </w:r>
          </w:p>
        </w:tc>
        <w:tc>
          <w:tcPr>
            <w:tcW w:w="6498" w:type="dxa"/>
            <w:tcBorders>
              <w:top w:val="single" w:sz="6" w:space="0" w:color="7F7F7F"/>
            </w:tcBorders>
          </w:tcPr>
          <w:p w14:paraId="4E62BC6C"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1427" w:type="dxa"/>
            <w:tcBorders>
              <w:top w:val="single" w:sz="6" w:space="0" w:color="7F7F7F"/>
            </w:tcBorders>
          </w:tcPr>
          <w:p w14:paraId="3CE365C8"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c>
          <w:tcPr>
            <w:tcW w:w="4168" w:type="dxa"/>
            <w:tcBorders>
              <w:top w:val="single" w:sz="6" w:space="0" w:color="7F7F7F"/>
            </w:tcBorders>
          </w:tcPr>
          <w:p w14:paraId="7AC48EBB"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p>
        </w:tc>
      </w:tr>
      <w:tr w:rsidR="004B1FD0" w:rsidRPr="00853D60" w14:paraId="52F99589" w14:textId="77777777" w:rsidTr="005336AB">
        <w:tc>
          <w:tcPr>
            <w:tcW w:w="587" w:type="dxa"/>
            <w:shd w:val="clear" w:color="auto" w:fill="EEEEEE"/>
          </w:tcPr>
          <w:p w14:paraId="03379A31"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18</w:t>
            </w:r>
          </w:p>
        </w:tc>
        <w:tc>
          <w:tcPr>
            <w:tcW w:w="1810" w:type="dxa"/>
            <w:shd w:val="clear" w:color="auto" w:fill="EEEEEE"/>
          </w:tcPr>
          <w:p w14:paraId="07230380" w14:textId="77777777" w:rsidR="004B1FD0" w:rsidRPr="00853D60" w:rsidRDefault="004B1FD0" w:rsidP="005336AB">
            <w:pPr>
              <w:widowControl/>
              <w:spacing w:beforeLines="40" w:before="96" w:afterLines="40" w:after="96" w:line="24" w:lineRule="atLeast"/>
              <w:jc w:val="left"/>
              <w:rPr>
                <w:rFonts w:ascii="Times New Roman" w:eastAsia="Cambria" w:hAnsi="Times New Roman" w:cs="Times New Roman"/>
                <w:color w:val="000000"/>
                <w:kern w:val="0"/>
                <w:sz w:val="18"/>
                <w:szCs w:val="18"/>
                <w:lang w:eastAsia="en-US"/>
              </w:rPr>
            </w:pPr>
            <w:r w:rsidRPr="00853D60">
              <w:rPr>
                <w:rFonts w:ascii="Times New Roman" w:eastAsia="Times New Roman" w:hAnsi="Times New Roman" w:cs="Times New Roman"/>
                <w:b/>
                <w:bCs/>
                <w:color w:val="000000"/>
                <w:kern w:val="0"/>
                <w:sz w:val="18"/>
                <w:szCs w:val="18"/>
                <w:lang w:eastAsia="en-GB"/>
              </w:rPr>
              <w:t>Funding</w:t>
            </w:r>
          </w:p>
        </w:tc>
        <w:tc>
          <w:tcPr>
            <w:tcW w:w="6498" w:type="dxa"/>
            <w:shd w:val="clear" w:color="auto" w:fill="EEEEEE"/>
          </w:tcPr>
          <w:p w14:paraId="6549F3BB"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Describe sources of funding and the role of funders in the present study and, if applicable, sources of funding for the databases and original study or studies on which the present study is based</w:t>
            </w:r>
          </w:p>
        </w:tc>
        <w:tc>
          <w:tcPr>
            <w:tcW w:w="1427" w:type="dxa"/>
            <w:shd w:val="clear" w:color="auto" w:fill="EEEEEE"/>
          </w:tcPr>
          <w:p w14:paraId="61184089"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17</w:t>
            </w:r>
          </w:p>
        </w:tc>
        <w:tc>
          <w:tcPr>
            <w:tcW w:w="4168" w:type="dxa"/>
            <w:shd w:val="clear" w:color="auto" w:fill="EEEEEE"/>
          </w:tcPr>
          <w:p w14:paraId="7A70C319"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None.</w:t>
            </w:r>
          </w:p>
        </w:tc>
      </w:tr>
      <w:tr w:rsidR="004B1FD0" w:rsidRPr="00853D60" w14:paraId="381830A1" w14:textId="77777777" w:rsidTr="005336AB">
        <w:tc>
          <w:tcPr>
            <w:tcW w:w="587" w:type="dxa"/>
          </w:tcPr>
          <w:p w14:paraId="4BEA818F"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19</w:t>
            </w:r>
          </w:p>
        </w:tc>
        <w:tc>
          <w:tcPr>
            <w:tcW w:w="1810" w:type="dxa"/>
          </w:tcPr>
          <w:p w14:paraId="7E792E27"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Data and data sharing </w:t>
            </w:r>
          </w:p>
        </w:tc>
        <w:tc>
          <w:tcPr>
            <w:tcW w:w="6498" w:type="dxa"/>
          </w:tcPr>
          <w:p w14:paraId="09EC7AE4"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Provide the data used to perform all analyses or report where and how the data can be accessed, and reference these sources in the article. Provide the statistical code needed to reproduce the results in the article, or report whether the code is publicly accessible and if so, where</w:t>
            </w:r>
          </w:p>
        </w:tc>
        <w:tc>
          <w:tcPr>
            <w:tcW w:w="1427" w:type="dxa"/>
          </w:tcPr>
          <w:p w14:paraId="503345E2"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16</w:t>
            </w:r>
          </w:p>
        </w:tc>
        <w:tc>
          <w:tcPr>
            <w:tcW w:w="4168" w:type="dxa"/>
          </w:tcPr>
          <w:p w14:paraId="5A0CCCC3"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 xml:space="preserve">The data used in this study were obtained from publicly accessible databases that are subject to established ethical approvals. All original studies contributing to these datasets received informed consent from participants and adhered to the ethical principles outlined in the Declaration of Helsinki. As this research exclusively utilized de-identified, aggregated data, additional institutional ethics approval was not required. The GBD 2021 data were obtained from the Institute for Health Metrics and Evaluation (IHME) and are available under standard terms of use at: https://ghdx.healthdata.org/gbd-2021. GWAS summary statistics for spontaneous female infertility were sourced from the FinnGen consortium and are publicly accessible at: https://www.finngen.fi. The GWAS summary statistics for modifiable risk factors and blood biomarkers analyzed in this study are detailed in the Supplementary Tables. </w:t>
            </w:r>
          </w:p>
        </w:tc>
      </w:tr>
      <w:tr w:rsidR="004B1FD0" w:rsidRPr="00853D60" w14:paraId="349E7B41" w14:textId="77777777" w:rsidTr="005336AB">
        <w:tc>
          <w:tcPr>
            <w:tcW w:w="587" w:type="dxa"/>
            <w:tcBorders>
              <w:bottom w:val="single" w:sz="6" w:space="0" w:color="7F7F7F"/>
            </w:tcBorders>
            <w:shd w:val="clear" w:color="auto" w:fill="EEEEEE"/>
          </w:tcPr>
          <w:p w14:paraId="130E578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b/>
                <w:bCs/>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20</w:t>
            </w:r>
          </w:p>
        </w:tc>
        <w:tc>
          <w:tcPr>
            <w:tcW w:w="1810" w:type="dxa"/>
            <w:tcBorders>
              <w:bottom w:val="single" w:sz="6" w:space="0" w:color="7F7F7F"/>
            </w:tcBorders>
            <w:shd w:val="clear" w:color="auto" w:fill="EEEEEE"/>
          </w:tcPr>
          <w:p w14:paraId="28406AA6"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b/>
                <w:bCs/>
                <w:color w:val="000000"/>
                <w:kern w:val="0"/>
                <w:sz w:val="18"/>
                <w:szCs w:val="18"/>
                <w:lang w:eastAsia="en-GB"/>
              </w:rPr>
              <w:t>Conflicts of Interest  </w:t>
            </w:r>
          </w:p>
        </w:tc>
        <w:tc>
          <w:tcPr>
            <w:tcW w:w="6498" w:type="dxa"/>
            <w:tcBorders>
              <w:bottom w:val="single" w:sz="6" w:space="0" w:color="7F7F7F"/>
            </w:tcBorders>
            <w:shd w:val="clear" w:color="auto" w:fill="EEEEEE"/>
          </w:tcPr>
          <w:p w14:paraId="4A483A45"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All authors should declare all potential conflicts of interest</w:t>
            </w:r>
          </w:p>
        </w:tc>
        <w:tc>
          <w:tcPr>
            <w:tcW w:w="1427" w:type="dxa"/>
            <w:tcBorders>
              <w:bottom w:val="single" w:sz="6" w:space="0" w:color="7F7F7F"/>
            </w:tcBorders>
            <w:shd w:val="clear" w:color="auto" w:fill="EEEEEE"/>
          </w:tcPr>
          <w:p w14:paraId="4FF04C59" w14:textId="77777777" w:rsidR="004B1FD0" w:rsidRPr="00853D60" w:rsidRDefault="004B1FD0" w:rsidP="005336AB">
            <w:pPr>
              <w:widowControl/>
              <w:spacing w:beforeLines="40" w:before="96" w:afterLines="40" w:after="96" w:line="24" w:lineRule="atLeast"/>
              <w:jc w:val="left"/>
              <w:rPr>
                <w:rFonts w:ascii="Times New Roman" w:hAnsi="Times New Roman" w:cs="Times New Roman"/>
                <w:color w:val="000000"/>
                <w:kern w:val="0"/>
                <w:sz w:val="18"/>
                <w:szCs w:val="18"/>
              </w:rPr>
            </w:pPr>
            <w:r w:rsidRPr="00853D60">
              <w:rPr>
                <w:rFonts w:ascii="Times New Roman" w:hAnsi="Times New Roman" w:cs="Times New Roman"/>
                <w:color w:val="000000"/>
                <w:kern w:val="0"/>
                <w:sz w:val="18"/>
                <w:szCs w:val="18"/>
              </w:rPr>
              <w:t>17</w:t>
            </w:r>
          </w:p>
        </w:tc>
        <w:tc>
          <w:tcPr>
            <w:tcW w:w="4168" w:type="dxa"/>
            <w:tcBorders>
              <w:bottom w:val="single" w:sz="6" w:space="0" w:color="7F7F7F"/>
            </w:tcBorders>
            <w:shd w:val="clear" w:color="auto" w:fill="EEEEEE"/>
          </w:tcPr>
          <w:p w14:paraId="50ADBFA8" w14:textId="77777777" w:rsidR="004B1FD0" w:rsidRPr="00853D60" w:rsidRDefault="004B1FD0" w:rsidP="005336AB">
            <w:pPr>
              <w:widowControl/>
              <w:spacing w:beforeLines="40" w:before="96" w:afterLines="40" w:after="96" w:line="24" w:lineRule="atLeast"/>
              <w:jc w:val="left"/>
              <w:rPr>
                <w:rFonts w:ascii="Times New Roman" w:eastAsia="Times New Roman" w:hAnsi="Times New Roman" w:cs="Times New Roman"/>
                <w:color w:val="000000"/>
                <w:kern w:val="0"/>
                <w:sz w:val="18"/>
                <w:szCs w:val="18"/>
                <w:lang w:eastAsia="en-GB"/>
              </w:rPr>
            </w:pPr>
            <w:r w:rsidRPr="00853D60">
              <w:rPr>
                <w:rFonts w:ascii="Times New Roman" w:eastAsia="Times New Roman" w:hAnsi="Times New Roman" w:cs="Times New Roman"/>
                <w:color w:val="000000"/>
                <w:kern w:val="0"/>
                <w:sz w:val="18"/>
                <w:szCs w:val="18"/>
                <w:lang w:eastAsia="en-GB"/>
              </w:rPr>
              <w:t>The authors report no conflicts of interest in this work.</w:t>
            </w:r>
          </w:p>
        </w:tc>
      </w:tr>
    </w:tbl>
    <w:p w14:paraId="3EEB43AE" w14:textId="77777777" w:rsidR="004B1FD0" w:rsidRPr="00853D60" w:rsidRDefault="004B1FD0" w:rsidP="004B1FD0">
      <w:pPr>
        <w:widowControl/>
        <w:spacing w:before="240" w:after="240" w:line="276" w:lineRule="auto"/>
        <w:jc w:val="left"/>
        <w:rPr>
          <w:rFonts w:ascii="Times New Roman" w:eastAsia="Arial" w:hAnsi="Times New Roman" w:cs="Times New Roman"/>
          <w:color w:val="000000"/>
          <w:kern w:val="0"/>
          <w:sz w:val="19"/>
          <w:szCs w:val="19"/>
          <w:lang w:eastAsia="de-CH"/>
        </w:rPr>
      </w:pPr>
      <w:r w:rsidRPr="00853D60">
        <w:rPr>
          <w:rFonts w:ascii="Times New Roman" w:eastAsia="Arial" w:hAnsi="Times New Roman" w:cs="Times New Roman"/>
          <w:color w:val="000000"/>
          <w:kern w:val="0"/>
          <w:sz w:val="19"/>
          <w:szCs w:val="19"/>
          <w:lang w:eastAsia="de-CH"/>
        </w:rPr>
        <w:t>This checklist is copyrighted by the Equator Network under the Creative Commons Attribution 3.0 Unported (CC BY 3.0) license.</w:t>
      </w:r>
    </w:p>
    <w:p w14:paraId="62904699" w14:textId="77777777" w:rsidR="004B1FD0" w:rsidRPr="00853D60" w:rsidRDefault="004B1FD0" w:rsidP="004B1FD0">
      <w:pPr>
        <w:autoSpaceDE w:val="0"/>
        <w:autoSpaceDN w:val="0"/>
        <w:adjustRightInd w:val="0"/>
        <w:spacing w:before="240" w:after="240"/>
        <w:ind w:left="640" w:hanging="640"/>
        <w:jc w:val="left"/>
        <w:rPr>
          <w:rFonts w:ascii="Times New Roman" w:eastAsia="Arial" w:hAnsi="Times New Roman" w:cs="Times New Roman"/>
          <w:color w:val="000000"/>
          <w:kern w:val="0"/>
          <w:sz w:val="19"/>
          <w:szCs w:val="19"/>
          <w:lang w:eastAsia="de-CH"/>
        </w:rPr>
      </w:pPr>
      <w:r w:rsidRPr="00853D60">
        <w:rPr>
          <w:rFonts w:ascii="Times New Roman" w:eastAsia="Arial" w:hAnsi="Times New Roman" w:cs="Times New Roman"/>
          <w:color w:val="000000"/>
          <w:kern w:val="0"/>
          <w:sz w:val="19"/>
          <w:szCs w:val="19"/>
          <w:lang w:eastAsia="de-CH"/>
        </w:rPr>
        <w:fldChar w:fldCharType="begin" w:fldLock="1"/>
      </w:r>
      <w:r w:rsidRPr="00853D60">
        <w:rPr>
          <w:rFonts w:ascii="Times New Roman" w:eastAsia="Arial" w:hAnsi="Times New Roman" w:cs="Times New Roman"/>
          <w:color w:val="000000"/>
          <w:kern w:val="0"/>
          <w:sz w:val="19"/>
          <w:szCs w:val="19"/>
          <w:lang w:eastAsia="de-CH"/>
        </w:rPr>
        <w:instrText xml:space="preserve">ADDIN Mendeley Bibliography CSL_BIBLIOGRAPHY </w:instrText>
      </w:r>
      <w:r w:rsidRPr="00853D60">
        <w:rPr>
          <w:rFonts w:ascii="Times New Roman" w:eastAsia="Arial" w:hAnsi="Times New Roman" w:cs="Times New Roman"/>
          <w:color w:val="000000"/>
          <w:kern w:val="0"/>
          <w:sz w:val="19"/>
          <w:szCs w:val="19"/>
          <w:lang w:eastAsia="de-CH"/>
        </w:rPr>
        <w:fldChar w:fldCharType="separate"/>
      </w:r>
      <w:r w:rsidRPr="00853D60">
        <w:rPr>
          <w:rFonts w:ascii="Times New Roman" w:eastAsia="Arial" w:hAnsi="Times New Roman" w:cs="Times New Roman"/>
          <w:color w:val="000000"/>
          <w:kern w:val="0"/>
          <w:sz w:val="19"/>
          <w:szCs w:val="19"/>
          <w:lang w:eastAsia="de-CH"/>
        </w:rPr>
        <w:t xml:space="preserve">1. </w:t>
      </w:r>
      <w:r w:rsidRPr="00853D60">
        <w:rPr>
          <w:rFonts w:ascii="Times New Roman" w:eastAsia="Arial" w:hAnsi="Times New Roman" w:cs="Times New Roman"/>
          <w:color w:val="000000"/>
          <w:kern w:val="0"/>
          <w:sz w:val="19"/>
          <w:szCs w:val="19"/>
          <w:lang w:eastAsia="de-CH"/>
        </w:rPr>
        <w:tab/>
        <w:t xml:space="preserve">Skrivankova VW, Richmond RC, Woolf BAR, Yarmolinsky J, Davies NM, Swanson SA, et al. Strengthening the Reporting of Observational Studies in Epidemiology using Mendelian Randomization (STROBE-MR) Statement. JAMA. 2021;under review. </w:t>
      </w:r>
    </w:p>
    <w:p w14:paraId="53F133FF" w14:textId="77777777" w:rsidR="004B1FD0" w:rsidRPr="00853D60" w:rsidRDefault="004B1FD0" w:rsidP="004B1FD0">
      <w:pPr>
        <w:autoSpaceDE w:val="0"/>
        <w:autoSpaceDN w:val="0"/>
        <w:adjustRightInd w:val="0"/>
        <w:spacing w:before="240" w:after="240"/>
        <w:ind w:left="640" w:hanging="640"/>
        <w:jc w:val="left"/>
        <w:rPr>
          <w:rFonts w:ascii="Times New Roman" w:eastAsia="Arial" w:hAnsi="Times New Roman" w:cs="Times New Roman"/>
          <w:color w:val="000000"/>
          <w:kern w:val="0"/>
          <w:sz w:val="19"/>
          <w:szCs w:val="19"/>
          <w:lang w:eastAsia="de-CH"/>
        </w:rPr>
      </w:pPr>
      <w:r w:rsidRPr="00853D60">
        <w:rPr>
          <w:rFonts w:ascii="Times New Roman" w:eastAsia="Arial" w:hAnsi="Times New Roman" w:cs="Times New Roman"/>
          <w:color w:val="000000"/>
          <w:kern w:val="0"/>
          <w:sz w:val="19"/>
          <w:szCs w:val="19"/>
          <w:lang w:eastAsia="de-CH"/>
        </w:rPr>
        <w:t xml:space="preserve">2. </w:t>
      </w:r>
      <w:r w:rsidRPr="00853D60">
        <w:rPr>
          <w:rFonts w:ascii="Times New Roman" w:eastAsia="Arial" w:hAnsi="Times New Roman" w:cs="Times New Roman"/>
          <w:color w:val="000000"/>
          <w:kern w:val="0"/>
          <w:sz w:val="19"/>
          <w:szCs w:val="19"/>
          <w:lang w:eastAsia="de-CH"/>
        </w:rPr>
        <w:tab/>
        <w:t xml:space="preserve">Skrivankova VW, Richmond RC, Woolf BAR, Davies NM, Swanson SA, VanderWeele TJ, et al. Strengthening the Reporting of Observational Studies in Epidemiology using Mendelian Randomisation (STROBE-MR): Explanation and Elaboration. BMJ. 2021;375:n2233. </w:t>
      </w:r>
    </w:p>
    <w:p w14:paraId="1B025EC0" w14:textId="5C2534B4" w:rsidR="004B1FD0" w:rsidRPr="00853D60" w:rsidRDefault="004B1FD0" w:rsidP="00001A0D">
      <w:pPr>
        <w:widowControl/>
        <w:spacing w:before="240" w:after="240" w:line="276" w:lineRule="auto"/>
        <w:jc w:val="left"/>
        <w:rPr>
          <w:rFonts w:ascii="Times New Roman" w:hAnsi="Times New Roman" w:cs="Times New Roman"/>
          <w:color w:val="000000"/>
          <w:sz w:val="20"/>
          <w:szCs w:val="20"/>
        </w:rPr>
      </w:pPr>
      <w:r w:rsidRPr="00853D60">
        <w:rPr>
          <w:rFonts w:ascii="Times New Roman" w:eastAsia="Arial" w:hAnsi="Times New Roman" w:cs="Times New Roman"/>
          <w:color w:val="000000"/>
          <w:kern w:val="0"/>
          <w:sz w:val="19"/>
          <w:szCs w:val="19"/>
          <w:lang w:eastAsia="de-CH"/>
        </w:rPr>
        <w:fldChar w:fldCharType="end"/>
      </w:r>
    </w:p>
    <w:p w14:paraId="6D3C768F" w14:textId="77777777" w:rsidR="00C055BC" w:rsidRPr="00853D60" w:rsidRDefault="00C055BC" w:rsidP="004B1FD0">
      <w:pPr>
        <w:widowControl/>
        <w:spacing w:line="276" w:lineRule="auto"/>
        <w:jc w:val="left"/>
        <w:rPr>
          <w:rFonts w:ascii="Times New Roman" w:hAnsi="Times New Roman" w:cs="Times New Roman"/>
          <w:color w:val="000000"/>
          <w:sz w:val="20"/>
          <w:szCs w:val="20"/>
        </w:rPr>
      </w:pPr>
    </w:p>
    <w:sectPr w:rsidR="00C055BC" w:rsidRPr="00853D60">
      <w:footerReference w:type="even" r:id="rId13"/>
      <w:footerReference w:type="default" r:id="rId14"/>
      <w:footerReference w:type="first" r:id="rId15"/>
      <w:pgSz w:w="15840" w:h="12240" w:orient="landscape"/>
      <w:pgMar w:top="1008" w:right="720" w:bottom="1008" w:left="72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8798BD" w14:textId="77777777" w:rsidR="00EE73D1" w:rsidRDefault="00EE73D1">
      <w:r>
        <w:separator/>
      </w:r>
    </w:p>
  </w:endnote>
  <w:endnote w:type="continuationSeparator" w:id="0">
    <w:p w14:paraId="2284FD19" w14:textId="77777777" w:rsidR="00EE73D1" w:rsidRDefault="00EE73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Rockwell">
    <w:panose1 w:val="02060603020205020403"/>
    <w:charset w:val="00"/>
    <w:family w:val="roman"/>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3A7B0" w14:textId="19CEFBBF" w:rsidR="00853D60" w:rsidRDefault="00853D60">
    <w:pPr>
      <w:pStyle w:val="Footer"/>
    </w:pPr>
    <w:r>
      <w:rPr>
        <w:noProof/>
      </w:rPr>
      <mc:AlternateContent>
        <mc:Choice Requires="wps">
          <w:drawing>
            <wp:anchor distT="0" distB="0" distL="0" distR="0" simplePos="0" relativeHeight="251659264" behindDoc="0" locked="0" layoutInCell="1" allowOverlap="1" wp14:anchorId="349C97F8" wp14:editId="3D91A673">
              <wp:simplePos x="635" y="635"/>
              <wp:positionH relativeFrom="page">
                <wp:align>left</wp:align>
              </wp:positionH>
              <wp:positionV relativeFrom="page">
                <wp:align>bottom</wp:align>
              </wp:positionV>
              <wp:extent cx="2077085" cy="324485"/>
              <wp:effectExtent l="0" t="0" r="18415" b="0"/>
              <wp:wrapNone/>
              <wp:docPr id="1034423408" name="Text Box 2"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54C7D8BB" w14:textId="11D26D0E"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49C97F8" id="_x0000_t202" coordsize="21600,21600" o:spt="202" path="m,l,21600r21600,l21600,xe">
              <v:stroke joinstyle="miter"/>
              <v:path gradientshapeok="t" o:connecttype="rect"/>
            </v:shapetype>
            <v:shape id="Text Box 2" o:spid="_x0000_s1026" type="#_x0000_t202" alt="Information Classification: General" style="position:absolute;margin-left:0;margin-top:0;width:163.55pt;height:25.5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2pCEgIAACIEAAAOAAAAZHJzL2Uyb0RvYy54bWysU8tu2zAQvBfoPxC815Jdu0kFy4GbwEUB&#10;IwngFDlTFGkJILkESVtyv75Lyo8kzSnohRrurvYxO5zf9FqRvXC+BVPS8SinRBgOdWu2Jf39tPpy&#10;TYkPzNRMgRElPQhPbxafP807W4gJNKBq4QgmMb7obEmbEGyRZZ43QjM/AisMOiU4zQJe3TarHesw&#10;u1bZJM+/ZR242jrgwnu03g1Oukj5pRQ8PEjpRSCqpNhbSKdLZxXPbDFnxdYx27T82Ab7QBeatQaL&#10;nlPdscDIzrX/pNItd+BBhhEHnYGULRdpBpxmnL+ZZtMwK9IsSI63Z5r8/0vL7/cb++hI6H9AjwuM&#10;hHTWFx6NcZ5eOh2/2ClBP1J4ONMm+kA4Gif51VV+PaOEo+/rZDpFjGmyy9/W+fBTgCYRlNThWhJb&#10;bL/2YQg9hcRiBlatUmk1yrwyYM5oyS4tRhT6qidt/aL9CuoDTuVgWLi3fNVi6TXz4ZE53DAOgqoN&#10;D3hIBV1J4YgoacD9ec8e45F49FLSoWJKalDSlKhfBhcymU3zPCos3RC4E6gSGH/PZ9FvdvoWUIxj&#10;fBeWJxiDgzpB6UA/o6iXsRq6mOFYs6TVCd6GQb/4KLhYLlMQismysDYby2PqyFkk9Kl/Zs4eWQ+4&#10;r3s4aYoVb8gfYuOf3i53AVeQNhP5Hdg80o5CTLs9Ppqo9Jf3FHV52ou/AAAA//8DAFBLAwQUAAYA&#10;CAAAACEA95LYyNoAAAAEAQAADwAAAGRycy9kb3ducmV2LnhtbEyPzU7DMBCE70i8g7VI3KiTIFIU&#10;4lRV+RFXQiU4OvE2jhqv03jbhrfHcIHLSqMZzXxbrmY3iBNOofekIF0kIJBab3rqFGzfn2/uQQTW&#10;ZPTgCRV8YYBVdXlR6sL4M73hqeZOxBIKhVZgmcdCytBadDos/IgUvZ2fnOYop06aSZ9juRtkliS5&#10;dLqnuGD1iBuL7b4+OgX548vajh/552GXhdfQ+D3X/kmp66t5/QCCcea/MPzgR3SoIlPjj2SCGBTE&#10;R/j3Ru82W6YgGgV3aQqyKuV/+OobAAD//wMAUEsBAi0AFAAGAAgAAAAhALaDOJL+AAAA4QEAABMA&#10;AAAAAAAAAAAAAAAAAAAAAFtDb250ZW50X1R5cGVzXS54bWxQSwECLQAUAAYACAAAACEAOP0h/9YA&#10;AACUAQAACwAAAAAAAAAAAAAAAAAvAQAAX3JlbHMvLnJlbHNQSwECLQAUAAYACAAAACEAYUtqQhIC&#10;AAAiBAAADgAAAAAAAAAAAAAAAAAuAgAAZHJzL2Uyb0RvYy54bWxQSwECLQAUAAYACAAAACEA95LY&#10;yNoAAAAEAQAADwAAAAAAAAAAAAAAAABsBAAAZHJzL2Rvd25yZXYueG1sUEsFBgAAAAAEAAQA8wAA&#10;AHMFAAAAAA==&#10;" filled="f" stroked="f">
              <v:fill o:detectmouseclick="t"/>
              <v:textbox style="mso-fit-shape-to-text:t" inset="20pt,0,0,15pt">
                <w:txbxContent>
                  <w:p w14:paraId="54C7D8BB" w14:textId="11D26D0E"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66422" w14:textId="2247F689" w:rsidR="00C055BC" w:rsidRDefault="00853D60">
    <w:pPr>
      <w:pStyle w:val="Footer"/>
      <w:jc w:val="center"/>
    </w:pPr>
    <w:r>
      <w:rPr>
        <w:noProof/>
      </w:rPr>
      <mc:AlternateContent>
        <mc:Choice Requires="wps">
          <w:drawing>
            <wp:anchor distT="0" distB="0" distL="0" distR="0" simplePos="0" relativeHeight="251660288" behindDoc="0" locked="0" layoutInCell="1" allowOverlap="1" wp14:anchorId="3DC9975F" wp14:editId="06A944AA">
              <wp:simplePos x="914400" y="9934575"/>
              <wp:positionH relativeFrom="page">
                <wp:align>left</wp:align>
              </wp:positionH>
              <wp:positionV relativeFrom="page">
                <wp:align>bottom</wp:align>
              </wp:positionV>
              <wp:extent cx="2077085" cy="324485"/>
              <wp:effectExtent l="0" t="0" r="18415" b="0"/>
              <wp:wrapNone/>
              <wp:docPr id="1668456728" name="Text Box 3"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7B4F9CC2" w14:textId="383DBBFB"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DC9975F" id="_x0000_t202" coordsize="21600,21600" o:spt="202" path="m,l,21600r21600,l21600,xe">
              <v:stroke joinstyle="miter"/>
              <v:path gradientshapeok="t" o:connecttype="rect"/>
            </v:shapetype>
            <v:shape id="Text Box 3" o:spid="_x0000_s1027" type="#_x0000_t202" alt="Information Classification: General" style="position:absolute;left:0;text-align:left;margin-left:0;margin-top:0;width:163.55pt;height:25.5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ZkAEwIAACIEAAAOAAAAZHJzL2Uyb0RvYy54bWysU01v2zAMvQ/YfxB0X+xkydoZcYqsRYYB&#10;QVsgHXqWZSk2IImCpMTOfv0oOU62bqdhF5kiaX6897S867UiR+F8C6ak00lOiTAc6tbsS/r9ZfPh&#10;lhIfmKmZAiNKehKe3q3ev1t2thAzaEDVwhEsYnzR2ZI2IdgiyzxvhGZ+AlYYDEpwmgW8un1WO9Zh&#10;da2yWZ5/yjpwtXXAhffofRiCdJXqSyl4eJLSi0BUSXG2kE6Xziqe2WrJir1jtmn5eQz2D1No1hps&#10;ein1wAIjB9f+UUq33IEHGSYcdAZStlykHXCbaf5mm13DrEi7IDjeXmDy/68sfzzu7LMjof8CPRIY&#10;AemsLzw64z69dDp+cVKCcYTwdIFN9IFwdM7ym5v8dkEJx9jH2XyONpbJrn9b58NXAZpEo6QOaUlo&#10;sePWhyF1TInNDGxapRI1yvzmwJrRk11HjFboq560NU4yjl9BfcKtHAyEe8s3LbbeMh+emUOGcRFU&#10;bXjCQyroSgpni5IG3I+/+WM+Ao9RSjpUTEkNSpoS9c0gIbPFPM+jwtINDTcaVTKmn/NFjJuDvgcU&#10;4xTfheXJjMlBjaZ0oF9R1OvYDUPMcOxZ0mo078OgX3wUXKzXKQnFZFnYmp3lsXTELAL60r8yZ8+o&#10;B+TrEUZNseIN+ENu/NPb9SEgBYmZiO+A5hl2FGLi9vxootJ/vaes69Ne/QQAAP//AwBQSwMEFAAG&#10;AAgAAAAhAPeS2MjaAAAABAEAAA8AAABkcnMvZG93bnJldi54bWxMj81OwzAQhO9IvIO1SNyokyBS&#10;FOJUVfkRV0IlODrxNo4ar9N424a3x3CBy0qjGc18W65mN4gTTqH3pCBdJCCQWm966hRs359v7kEE&#10;1mT04AkVfGGAVXV5UerC+DO94anmTsQSCoVWYJnHQsrQWnQ6LPyIFL2dn5zmKKdOmkmfY7kbZJYk&#10;uXS6p7hg9Ygbi+2+PjoF+ePL2o4f+edhl4XX0Pg91/5Jqeuref0AgnHmvzD84Ed0qCJT449kghgU&#10;xEf490bvNlumIBoFd2kKsirlf/jqGwAA//8DAFBLAQItABQABgAIAAAAIQC2gziS/gAAAOEBAAAT&#10;AAAAAAAAAAAAAAAAAAAAAABbQ29udGVudF9UeXBlc10ueG1sUEsBAi0AFAAGAAgAAAAhADj9If/W&#10;AAAAlAEAAAsAAAAAAAAAAAAAAAAALwEAAF9yZWxzLy5yZWxzUEsBAi0AFAAGAAgAAAAhADDdmQAT&#10;AgAAIgQAAA4AAAAAAAAAAAAAAAAALgIAAGRycy9lMm9Eb2MueG1sUEsBAi0AFAAGAAgAAAAhAPeS&#10;2MjaAAAABAEAAA8AAAAAAAAAAAAAAAAAbQQAAGRycy9kb3ducmV2LnhtbFBLBQYAAAAABAAEAPMA&#10;AAB0BQAAAAA=&#10;" filled="f" stroked="f">
              <v:fill o:detectmouseclick="t"/>
              <v:textbox style="mso-fit-shape-to-text:t" inset="20pt,0,0,15pt">
                <w:txbxContent>
                  <w:p w14:paraId="7B4F9CC2" w14:textId="383DBBFB"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v:textbox>
              <w10:wrap anchorx="page" anchory="page"/>
            </v:shape>
          </w:pict>
        </mc:Fallback>
      </mc:AlternateContent>
    </w:r>
    <w:sdt>
      <w:sdtPr>
        <w:id w:val="-1591543643"/>
      </w:sdtPr>
      <w:sdtEndPr/>
      <w:sdtContent>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A0876" w14:textId="35238FE6" w:rsidR="00853D60" w:rsidRDefault="00853D60">
    <w:pPr>
      <w:pStyle w:val="Footer"/>
    </w:pPr>
    <w:r>
      <w:rPr>
        <w:noProof/>
      </w:rPr>
      <mc:AlternateContent>
        <mc:Choice Requires="wps">
          <w:drawing>
            <wp:anchor distT="0" distB="0" distL="0" distR="0" simplePos="0" relativeHeight="251658240" behindDoc="0" locked="0" layoutInCell="1" allowOverlap="1" wp14:anchorId="30543AF4" wp14:editId="331DB8C4">
              <wp:simplePos x="635" y="635"/>
              <wp:positionH relativeFrom="page">
                <wp:align>left</wp:align>
              </wp:positionH>
              <wp:positionV relativeFrom="page">
                <wp:align>bottom</wp:align>
              </wp:positionV>
              <wp:extent cx="2077085" cy="324485"/>
              <wp:effectExtent l="0" t="0" r="18415" b="0"/>
              <wp:wrapNone/>
              <wp:docPr id="1313798563" name="Text Box 1"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18F10007" w14:textId="709AC7A9"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0543AF4" id="_x0000_t202" coordsize="21600,21600" o:spt="202" path="m,l,21600r21600,l21600,xe">
              <v:stroke joinstyle="miter"/>
              <v:path gradientshapeok="t" o:connecttype="rect"/>
            </v:shapetype>
            <v:shape id="Text Box 1" o:spid="_x0000_s1028" type="#_x0000_t202" alt="Information Classification: General" style="position:absolute;margin-left:0;margin-top:0;width:163.55pt;height:25.5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BJjDwIAABsEAAAOAAAAZHJzL2Uyb0RvYy54bWysU01v2zAMvQ/YfxB0X+xkydoZcYqsRYYB&#10;QVsgHXqWZSk2IImCpMTOfv0o2Um2bqdhF/mJpPnx+LS867UiR+F8C6ak00lOiTAc6tbsS/r9ZfPh&#10;lhIfmKmZAiNKehKe3q3ev1t2thAzaEDVwhFMYnzR2ZI2IdgiyzxvhGZ+AlYYdEpwmgW8un1WO9Zh&#10;dq2yWZ5/yjpwtXXAhfdofRicdJXySyl4eJLSi0BUSbG3kE6Xziqe2WrJir1jtmn52Ab7hy40aw0W&#10;vaR6YIGRg2v/SKVb7sCDDBMOOgMpWy7SDDjNNH8zza5hVqRZkBxvLzT5/5eWPx539tmR0H+BHhcY&#10;CemsLzwa4zy9dDp+sVOCfqTwdKFN9IFwNM7ym5v8dkEJR9/H2XyOGNNk17+t8+GrAE0iKKnDtSS2&#10;2HHrwxB6DonFDGxapdJqlPnNgDmjJbu2GFHoq37su4L6hOM4GDbtLd+0WHPLfHhmDleLE6BcwxMe&#10;UkFXUhgRJQ24H3+zx3hkHL2UdCiVkhrUMiXqm8FNzBbzPI/SSjcE7gyqBKaf80X0m4O+B1ThFB+E&#10;5QnG4KDOUDrQr6jmdayGLmY41ixpdYb3YRAuvgYu1usUhCqyLGzNzvKYOpIVmXzpX5mzI90BF/UI&#10;ZzGx4g3rQ2z809v1ISD3aSWR2IHNkW9UYFrq+FqixH+9p6jrm179BAAA//8DAFBLAwQUAAYACAAA&#10;ACEA95LYyNoAAAAEAQAADwAAAGRycy9kb3ducmV2LnhtbEyPzU7DMBCE70i8g7VI3KiTIFIU4lRV&#10;+RFXQiU4OvE2jhqv03jbhrfHcIHLSqMZzXxbrmY3iBNOofekIF0kIJBab3rqFGzfn2/uQQTWZPTg&#10;CRV8YYBVdXlR6sL4M73hqeZOxBIKhVZgmcdCytBadDos/IgUvZ2fnOYop06aSZ9juRtkliS5dLqn&#10;uGD1iBuL7b4+OgX548vajh/552GXhdfQ+D3X/kmp66t5/QCCcea/MPzgR3SoIlPjj2SCGBTER/j3&#10;Ru82W6YgGgV3aQqyKuV/+OobAAD//wMAUEsBAi0AFAAGAAgAAAAhALaDOJL+AAAA4QEAABMAAAAA&#10;AAAAAAAAAAAAAAAAAFtDb250ZW50X1R5cGVzXS54bWxQSwECLQAUAAYACAAAACEAOP0h/9YAAACU&#10;AQAACwAAAAAAAAAAAAAAAAAvAQAAX3JlbHMvLnJlbHNQSwECLQAUAAYACAAAACEAdBwSYw8CAAAb&#10;BAAADgAAAAAAAAAAAAAAAAAuAgAAZHJzL2Uyb0RvYy54bWxQSwECLQAUAAYACAAAACEA95LYyNoA&#10;AAAEAQAADwAAAAAAAAAAAAAAAABpBAAAZHJzL2Rvd25yZXYueG1sUEsFBgAAAAAEAAQA8wAAAHAF&#10;AAAAAA==&#10;" filled="f" stroked="f">
              <v:fill o:detectmouseclick="t"/>
              <v:textbox style="mso-fit-shape-to-text:t" inset="20pt,0,0,15pt">
                <w:txbxContent>
                  <w:p w14:paraId="18F10007" w14:textId="709AC7A9"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35737" w14:textId="514F5EEB" w:rsidR="00C055BC" w:rsidRDefault="00853D60">
    <w:pPr>
      <w:framePr w:wrap="auto" w:vAnchor="text" w:hAnchor="margin" w:xAlign="right" w:y="1"/>
      <w:tabs>
        <w:tab w:val="center" w:pos="4680"/>
        <w:tab w:val="right" w:pos="9360"/>
      </w:tabs>
      <w:rPr>
        <w:rFonts w:ascii="Arial" w:eastAsia="Arial" w:hAnsi="Arial" w:cs="Arial"/>
        <w:sz w:val="22"/>
        <w:lang w:val="en" w:eastAsia="de-CH"/>
      </w:rPr>
    </w:pPr>
    <w:r>
      <w:rPr>
        <w:rFonts w:ascii="Arial" w:eastAsia="Arial" w:hAnsi="Arial" w:cs="Arial"/>
        <w:noProof/>
        <w:sz w:val="22"/>
        <w:lang w:val="en" w:eastAsia="de-CH"/>
      </w:rPr>
      <mc:AlternateContent>
        <mc:Choice Requires="wps">
          <w:drawing>
            <wp:anchor distT="0" distB="0" distL="0" distR="0" simplePos="0" relativeHeight="251662336" behindDoc="0" locked="0" layoutInCell="1" allowOverlap="1" wp14:anchorId="6CF93D80" wp14:editId="6A730607">
              <wp:simplePos x="635" y="635"/>
              <wp:positionH relativeFrom="page">
                <wp:align>left</wp:align>
              </wp:positionH>
              <wp:positionV relativeFrom="page">
                <wp:align>bottom</wp:align>
              </wp:positionV>
              <wp:extent cx="2077085" cy="324485"/>
              <wp:effectExtent l="0" t="0" r="18415" b="0"/>
              <wp:wrapNone/>
              <wp:docPr id="594203252" name="Text Box 5"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48BF906E" w14:textId="78149A8F"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CF93D80" id="_x0000_t202" coordsize="21600,21600" o:spt="202" path="m,l,21600r21600,l21600,xe">
              <v:stroke joinstyle="miter"/>
              <v:path gradientshapeok="t" o:connecttype="rect"/>
            </v:shapetype>
            <v:shape id="Text Box 5" o:spid="_x0000_s1029" type="#_x0000_t202" alt="Information Classification: General" style="position:absolute;left:0;text-align:left;margin-left:0;margin-top:0;width:163.55pt;height:25.55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X6FFAIAACIEAAAOAAAAZHJzL2Uyb0RvYy54bWysU01v2zAMvQ/YfxB0X+xkydoZcYqsRYYB&#10;QVsgHXqWZSk2IImCpMTOfv0oOU62bqdhF/mJpPnx+LS867UiR+F8C6ak00lOiTAc6tbsS/r9ZfPh&#10;lhIfmKmZAiNKehKe3q3ev1t2thAzaEDVwhFMYnzR2ZI2IdgiyzxvhGZ+AlYYdEpwmgW8un1WO9Zh&#10;dq2yWZ5/yjpwtXXAhfdofRicdJXySyl4eJLSi0BUSbG3kE6Xziqe2WrJir1jtmn5uQ32D11o1hos&#10;ekn1wAIjB9f+kUq33IEHGSYcdAZStlykGXCaaf5mml3DrEizIDneXmjy/y8tfzzu7LMjof8CPS4w&#10;EtJZX3g0xnl66XT8YqcE/Ujh6UKb6APhaJzlNzf57YISjr6Ps/kcMabJrn9b58NXAZpEUFKHa0ls&#10;sePWhyF0DInFDGxapdJqlPnNgDmjJbu2GFHoq560dUnnY/sV1CecysGwcG/5psXSW+bDM3O4YRwE&#10;VRue8JAKupLCGVHSgPvxN3uMR+LRS0mHiimpQUlTor4ZXMhsMc/zqLB0Q+BGUCUw/Zwvot8c9D2g&#10;GKf4LixPMAYHNULpQL+iqNexGrqY4VizpNUI78OgX3wUXKzXKQjFZFnYmp3lMXXkLBL60r8yZ8+s&#10;B9zXI4yaYsUb8ofY+Ke360PAFaTNRH4HNs+0oxDTbs+PJir913uKuj7t1U8AAAD//wMAUEsDBBQA&#10;BgAIAAAAIQD3ktjI2gAAAAQBAAAPAAAAZHJzL2Rvd25yZXYueG1sTI/NTsMwEITvSLyDtUjcqJMg&#10;UhTiVFX5EVdCJTg68TaOGq/TeNuGt8dwgctKoxnNfFuuZjeIE06h96QgXSQgkFpveuoUbN+fb+5B&#10;BNZk9OAJFXxhgFV1eVHqwvgzveGp5k7EEgqFVmCZx0LK0Fp0Oiz8iBS9nZ+c5iinTppJn2O5G2SW&#10;JLl0uqe4YPWIG4vtvj46Bfnjy9qOH/nnYZeF19D4Pdf+Sanrq3n9AIJx5r8w/OBHdKgiU+OPZIIY&#10;FMRH+PdG7zZbpiAaBXdpCrIq5X/46hsAAP//AwBQSwECLQAUAAYACAAAACEAtoM4kv4AAADhAQAA&#10;EwAAAAAAAAAAAAAAAAAAAAAAW0NvbnRlbnRfVHlwZXNdLnhtbFBLAQItABQABgAIAAAAIQA4/SH/&#10;1gAAAJQBAAALAAAAAAAAAAAAAAAAAC8BAABfcmVscy8ucmVsc1BLAQItABQABgAIAAAAIQCS8X6F&#10;FAIAACIEAAAOAAAAAAAAAAAAAAAAAC4CAABkcnMvZTJvRG9jLnhtbFBLAQItABQABgAIAAAAIQD3&#10;ktjI2gAAAAQBAAAPAAAAAAAAAAAAAAAAAG4EAABkcnMvZG93bnJldi54bWxQSwUGAAAAAAQABADz&#10;AAAAdQUAAAAA&#10;" filled="f" stroked="f">
              <v:fill o:detectmouseclick="t"/>
              <v:textbox style="mso-fit-shape-to-text:t" inset="20pt,0,0,15pt">
                <w:txbxContent>
                  <w:p w14:paraId="48BF906E" w14:textId="78149A8F"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v:textbox>
              <w10:wrap anchorx="page" anchory="page"/>
            </v:shape>
          </w:pict>
        </mc:Fallback>
      </mc:AlternateContent>
    </w:r>
  </w:p>
  <w:p w14:paraId="2985AA21" w14:textId="77777777" w:rsidR="00C055BC" w:rsidRDefault="00C055BC">
    <w:pPr>
      <w:tabs>
        <w:tab w:val="center" w:pos="4680"/>
        <w:tab w:val="right" w:pos="9360"/>
      </w:tabs>
      <w:ind w:right="360"/>
      <w:rPr>
        <w:rFonts w:ascii="Arial" w:eastAsia="Arial" w:hAnsi="Arial" w:cs="Arial"/>
        <w:sz w:val="22"/>
        <w:lang w:val="en" w:eastAsia="de-CH"/>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90271" w14:textId="7990DF31" w:rsidR="00C055BC" w:rsidRDefault="00853D60">
    <w:pPr>
      <w:tabs>
        <w:tab w:val="center" w:pos="4680"/>
        <w:tab w:val="right" w:pos="9360"/>
      </w:tabs>
      <w:jc w:val="right"/>
      <w:rPr>
        <w:rFonts w:ascii="Arial" w:eastAsia="Arial" w:hAnsi="Arial" w:cs="Arial"/>
        <w:sz w:val="22"/>
        <w:lang w:val="en" w:eastAsia="de-CH"/>
      </w:rPr>
    </w:pPr>
    <w:r>
      <w:rPr>
        <w:rFonts w:ascii="Arial" w:eastAsia="Arial" w:hAnsi="Arial" w:cs="Arial"/>
        <w:noProof/>
        <w:sz w:val="22"/>
        <w:lang w:val="en" w:eastAsia="de-CH"/>
      </w:rPr>
      <mc:AlternateContent>
        <mc:Choice Requires="wps">
          <w:drawing>
            <wp:anchor distT="0" distB="0" distL="0" distR="0" simplePos="0" relativeHeight="251663360" behindDoc="0" locked="0" layoutInCell="1" allowOverlap="1" wp14:anchorId="45CF58AE" wp14:editId="5271CA0E">
              <wp:simplePos x="457835" y="6994525"/>
              <wp:positionH relativeFrom="page">
                <wp:align>left</wp:align>
              </wp:positionH>
              <wp:positionV relativeFrom="page">
                <wp:align>bottom</wp:align>
              </wp:positionV>
              <wp:extent cx="2077085" cy="324485"/>
              <wp:effectExtent l="0" t="0" r="18415" b="0"/>
              <wp:wrapNone/>
              <wp:docPr id="347616602" name="Text Box 6"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59E81455" w14:textId="3760ED14"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5CF58AE" id="_x0000_t202" coordsize="21600,21600" o:spt="202" path="m,l,21600r21600,l21600,xe">
              <v:stroke joinstyle="miter"/>
              <v:path gradientshapeok="t" o:connecttype="rect"/>
            </v:shapetype>
            <v:shape id="Text Box 6" o:spid="_x0000_s1030" type="#_x0000_t202" alt="Information Classification: General" style="position:absolute;left:0;text-align:left;margin-left:0;margin-top:0;width:163.55pt;height:25.55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v8NEgIAACIEAAAOAAAAZHJzL2Uyb0RvYy54bWysU01v2zAMvQ/YfxB0X+xkydoZcYqsRYYB&#10;QVsgHXpWZCk2IImCpMTOfv0o2U62bqdhF5kiaX6897S867QiJ+F8A6ak00lOiTAcqsYcSvr9ZfPh&#10;lhIfmKmYAiNKehae3q3ev1u2thAzqEFVwhEsYnzR2pLWIdgiyzyvhWZ+AlYYDEpwmgW8ukNWOdZi&#10;da2yWZ5/ylpwlXXAhffofeiDdJXqSyl4eJLSi0BUSXG2kE6Xzn08s9WSFQfHbN3wYQz2D1No1hhs&#10;ein1wAIjR9f8UUo33IEHGSYcdAZSNlykHXCbaf5mm13NrEi7IDjeXmDy/68sfzzt7LMjofsCHRIY&#10;AWmtLzw64z6ddDp+cVKCcYTwfIFNdIFwdM7ym5v8dkEJx9jH2XyONpbJrn9b58NXAZpEo6QOaUlo&#10;sdPWhz51TInNDGwapRI1yvzmwJrRk11HjFbo9h1pqpKmvtGzh+qMWznoCfeWbxpsvWU+PDOHDOMi&#10;qNrwhIdU0JYUBouSGtyPv/ljPgKPUUpaVExJDUqaEvXNICGzxTzPo8LSDQ03GvtkTD/nixg3R30P&#10;KMYpvgvLkxmTgxpN6UC/oqjXsRuGmOHYs6T70bwPvX7xUXCxXqckFJNlYWt2lsfSEbMI6Ev3ypwd&#10;UA/I1yOMmmLFG/D73Pint+tjQAoSM1c0B9hRiInb4dFEpf96T1nXp736CQAA//8DAFBLAwQUAAYA&#10;CAAAACEA95LYyNoAAAAEAQAADwAAAGRycy9kb3ducmV2LnhtbEyPzU7DMBCE70i8g7VI3KiTIFIU&#10;4lRV+RFXQiU4OvE2jhqv03jbhrfHcIHLSqMZzXxbrmY3iBNOofekIF0kIJBab3rqFGzfn2/uQQTW&#10;ZPTgCRV8YYBVdXlR6sL4M73hqeZOxBIKhVZgmcdCytBadDos/IgUvZ2fnOYop06aSZ9juRtkliS5&#10;dLqnuGD1iBuL7b4+OgX548vajh/552GXhdfQ+D3X/kmp66t5/QCCcea/MPzgR3SoIlPjj2SCGBTE&#10;R/j3Ru82W6YgGgV3aQqyKuV/+OobAAD//wMAUEsBAi0AFAAGAAgAAAAhALaDOJL+AAAA4QEAABMA&#10;AAAAAAAAAAAAAAAAAAAAAFtDb250ZW50X1R5cGVzXS54bWxQSwECLQAUAAYACAAAACEAOP0h/9YA&#10;AACUAQAACwAAAAAAAAAAAAAAAAAvAQAAX3JlbHMvLnJlbHNQSwECLQAUAAYACAAAACEAYn7/DRIC&#10;AAAiBAAADgAAAAAAAAAAAAAAAAAuAgAAZHJzL2Uyb0RvYy54bWxQSwECLQAUAAYACAAAACEA95LY&#10;yNoAAAAEAQAADwAAAAAAAAAAAAAAAABsBAAAZHJzL2Rvd25yZXYueG1sUEsFBgAAAAAEAAQA8wAA&#10;AHMFAAAAAA==&#10;" filled="f" stroked="f">
              <v:fill o:detectmouseclick="t"/>
              <v:textbox style="mso-fit-shape-to-text:t" inset="20pt,0,0,15pt">
                <w:txbxContent>
                  <w:p w14:paraId="59E81455" w14:textId="3760ED14"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v:textbox>
              <w10:wrap anchorx="page" anchory="page"/>
            </v:shape>
          </w:pict>
        </mc:Fallback>
      </mc:AlternateContent>
    </w:r>
    <w:r>
      <w:rPr>
        <w:rFonts w:ascii="Arial" w:eastAsia="Arial" w:hAnsi="Arial" w:cs="Arial"/>
        <w:sz w:val="22"/>
        <w:lang w:val="en" w:eastAsia="de-CH"/>
      </w:rPr>
      <w:fldChar w:fldCharType="begin"/>
    </w:r>
    <w:r>
      <w:rPr>
        <w:rFonts w:ascii="Arial" w:eastAsia="Arial" w:hAnsi="Arial" w:cs="Arial"/>
        <w:sz w:val="22"/>
        <w:lang w:val="en" w:eastAsia="de-CH"/>
      </w:rPr>
      <w:instrText xml:space="preserve"> PAGE   \* MERGEFORMAT </w:instrText>
    </w:r>
    <w:r>
      <w:rPr>
        <w:rFonts w:ascii="Arial" w:eastAsia="Arial" w:hAnsi="Arial" w:cs="Arial"/>
        <w:sz w:val="22"/>
        <w:lang w:val="en" w:eastAsia="de-CH"/>
      </w:rPr>
      <w:fldChar w:fldCharType="separate"/>
    </w:r>
    <w:r>
      <w:rPr>
        <w:rFonts w:ascii="Arial" w:eastAsia="Arial" w:hAnsi="Arial" w:cs="Arial"/>
        <w:sz w:val="22"/>
        <w:lang w:val="en" w:eastAsia="de-CH"/>
      </w:rPr>
      <w:t>1</w:t>
    </w:r>
    <w:r>
      <w:rPr>
        <w:rFonts w:ascii="Arial" w:eastAsia="Arial" w:hAnsi="Arial" w:cs="Arial"/>
        <w:sz w:val="22"/>
        <w:lang w:val="en" w:eastAsia="de-CH"/>
      </w:rPr>
      <w:fldChar w:fldCharType="end"/>
    </w:r>
  </w:p>
  <w:p w14:paraId="55FF722E" w14:textId="77777777" w:rsidR="00C055BC" w:rsidRDefault="00C055BC">
    <w:pPr>
      <w:tabs>
        <w:tab w:val="center" w:pos="4680"/>
        <w:tab w:val="right" w:pos="9360"/>
      </w:tabs>
      <w:ind w:right="360"/>
      <w:rPr>
        <w:rFonts w:ascii="Arial" w:eastAsia="Arial" w:hAnsi="Arial" w:cs="Arial"/>
        <w:sz w:val="22"/>
        <w:lang w:val="en" w:eastAsia="de-CH"/>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645F3" w14:textId="4A89C9D4" w:rsidR="00853D60" w:rsidRDefault="00853D60">
    <w:pPr>
      <w:pStyle w:val="Footer"/>
    </w:pPr>
    <w:r>
      <w:rPr>
        <w:noProof/>
      </w:rPr>
      <mc:AlternateContent>
        <mc:Choice Requires="wps">
          <w:drawing>
            <wp:anchor distT="0" distB="0" distL="0" distR="0" simplePos="0" relativeHeight="251661312" behindDoc="0" locked="0" layoutInCell="1" allowOverlap="1" wp14:anchorId="231098FE" wp14:editId="3DBE7C95">
              <wp:simplePos x="635" y="635"/>
              <wp:positionH relativeFrom="page">
                <wp:align>left</wp:align>
              </wp:positionH>
              <wp:positionV relativeFrom="page">
                <wp:align>bottom</wp:align>
              </wp:positionV>
              <wp:extent cx="2077085" cy="324485"/>
              <wp:effectExtent l="0" t="0" r="18415" b="0"/>
              <wp:wrapNone/>
              <wp:docPr id="2140741828" name="Text Box 4"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78CB1979" w14:textId="229D34FD"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1098FE" id="_x0000_t202" coordsize="21600,21600" o:spt="202" path="m,l,21600r21600,l21600,xe">
              <v:stroke joinstyle="miter"/>
              <v:path gradientshapeok="t" o:connecttype="rect"/>
            </v:shapetype>
            <v:shape id="Text Box 4" o:spid="_x0000_s1031" type="#_x0000_t202" alt="Information Classification: General" style="position:absolute;margin-left:0;margin-top:0;width:163.55pt;height:25.55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hiIEwIAACIEAAAOAAAAZHJzL2Uyb0RvYy54bWysU01v2zAMvQ/YfxB0X+xkydoZcYqsRYYB&#10;QVsgHXqWZSk2IImCpMTOfv0oOU62bqdhF/mJpPnx+LS867UiR+F8C6ak00lOiTAc6tbsS/r9ZfPh&#10;lhIfmKmZAiNKehKe3q3ev1t2thAzaEDVwhFMYnzR2ZI2IdgiyzxvhGZ+AlYYdEpwmgW8un1WO9Zh&#10;dq2yWZ5/yjpwtXXAhfdofRicdJXySyl4eJLSi0BUSbG3kE6Xziqe2WrJir1jtmn5uQ32D11o1hos&#10;ekn1wAIjB9f+kUq33IEHGSYcdAZStlykGXCaaf5mml3DrEizIDneXmjy/y8tfzzu7LMjof8CPS4w&#10;EtJZX3g0xnl66XT8YqcE/Ujh6UKb6APhaJzlNzf57YISjr6Ps/kcMabJrn9b58NXAZpEUFKHa0ls&#10;sePWhyF0DInFDGxapdJqlPnNgDmjJbu2GFHoq560NRYf26+gPuFUDoaFe8s3LZbeMh+emcMN4yCo&#10;2vCEh1TQlRTOiJIG3I+/2WM8Eo9eSjpUTEkNSpoS9c3gQmaLeZ5HhaUbAjeCKoHp53wR/eag7wHF&#10;OMV3YXmCMTioEUoH+hVFvY7V0MUMx5olrUZ4Hwb94qPgYr1OQSgmy8LW7CyPqSNnkdCX/pU5e2Y9&#10;4L4eYdQUK96QP8TGP71dHwKuIG0m8juweaYdhZh2e340Uem/3lPU9WmvfgIAAP//AwBQSwMEFAAG&#10;AAgAAAAhAPeS2MjaAAAABAEAAA8AAABkcnMvZG93bnJldi54bWxMj81OwzAQhO9IvIO1SNyokyBS&#10;FOJUVfkRV0IlODrxNo4ar9N424a3x3CBy0qjGc18W65mN4gTTqH3pCBdJCCQWm966hRs359v7kEE&#10;1mT04AkVfGGAVXV5UerC+DO94anmTsQSCoVWYJnHQsrQWnQ6LPyIFL2dn5zmKKdOmkmfY7kbZJYk&#10;uXS6p7hg9Ygbi+2+PjoF+ePL2o4f+edhl4XX0Pg91/5Jqeuref0AgnHmvzD84Ed0qCJT449kghgU&#10;xEf490bvNlumIBoFd2kKsirlf/jqGwAA//8DAFBLAQItABQABgAIAAAAIQC2gziS/gAAAOEBAAAT&#10;AAAAAAAAAAAAAAAAAAAAAABbQ29udGVudF9UeXBlc10ueG1sUEsBAi0AFAAGAAgAAAAhADj9If/W&#10;AAAAlAEAAAsAAAAAAAAAAAAAAAAALwEAAF9yZWxzLy5yZWxzUEsBAi0AFAAGAAgAAAAhAMBSGIgT&#10;AgAAIgQAAA4AAAAAAAAAAAAAAAAALgIAAGRycy9lMm9Eb2MueG1sUEsBAi0AFAAGAAgAAAAhAPeS&#10;2MjaAAAABAEAAA8AAAAAAAAAAAAAAAAAbQQAAGRycy9kb3ducmV2LnhtbFBLBQYAAAAABAAEAPMA&#10;AAB0BQAAAAA=&#10;" filled="f" stroked="f">
              <v:fill o:detectmouseclick="t"/>
              <v:textbox style="mso-fit-shape-to-text:t" inset="20pt,0,0,15pt">
                <w:txbxContent>
                  <w:p w14:paraId="78CB1979" w14:textId="229D34FD" w:rsidR="00853D60" w:rsidRPr="00853D60" w:rsidRDefault="00853D60" w:rsidP="00853D60">
                    <w:pPr>
                      <w:rPr>
                        <w:rFonts w:ascii="Rockwell" w:eastAsia="Rockwell" w:hAnsi="Rockwell" w:cs="Rockwell"/>
                        <w:noProof/>
                        <w:color w:val="0078D7"/>
                        <w:sz w:val="18"/>
                        <w:szCs w:val="18"/>
                      </w:rPr>
                    </w:pPr>
                    <w:r w:rsidRPr="00853D60">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8F56C" w14:textId="77777777" w:rsidR="00EE73D1" w:rsidRDefault="00EE73D1">
      <w:r>
        <w:separator/>
      </w:r>
    </w:p>
  </w:footnote>
  <w:footnote w:type="continuationSeparator" w:id="0">
    <w:p w14:paraId="6B49EC3E" w14:textId="77777777" w:rsidR="00EE73D1" w:rsidRDefault="00EE73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157B5" w14:textId="77777777" w:rsidR="00C055BC" w:rsidRDefault="00C055BC">
    <w:pPr>
      <w:pStyle w:val="Header"/>
      <w:pBdr>
        <w:bottom w:val="none" w:sz="0" w:space="0" w:color="auto"/>
      </w:pBdr>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oNotTrackFormatting/>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6A43"/>
    <w:rsid w:val="00001A0D"/>
    <w:rsid w:val="00057A5D"/>
    <w:rsid w:val="000A1C41"/>
    <w:rsid w:val="000F21E6"/>
    <w:rsid w:val="00400311"/>
    <w:rsid w:val="004B0169"/>
    <w:rsid w:val="004B1FD0"/>
    <w:rsid w:val="005769CE"/>
    <w:rsid w:val="00593644"/>
    <w:rsid w:val="00596A43"/>
    <w:rsid w:val="005C3E85"/>
    <w:rsid w:val="00692BC7"/>
    <w:rsid w:val="00853D60"/>
    <w:rsid w:val="00C055BC"/>
    <w:rsid w:val="00C624A6"/>
    <w:rsid w:val="00D23BD4"/>
    <w:rsid w:val="00D24855"/>
    <w:rsid w:val="00EE73D1"/>
    <w:rsid w:val="00F56D8F"/>
    <w:rsid w:val="0D036668"/>
    <w:rsid w:val="1DBE2A8F"/>
    <w:rsid w:val="25F27417"/>
    <w:rsid w:val="36EC4E93"/>
    <w:rsid w:val="584A4D20"/>
    <w:rsid w:val="68FC5484"/>
    <w:rsid w:val="776602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FC4B8E"/>
  <w15:docId w15:val="{0B1DD936-E46D-4FEB-B04E-DB04F57C6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rFonts w:ascii="Calibri" w:eastAsia="SimSun" w:hAnsi="Calibri" w:cs="SimSun"/>
      <w:kern w:val="2"/>
      <w:sz w:val="21"/>
      <w:szCs w:val="22"/>
    </w:rPr>
  </w:style>
  <w:style w:type="paragraph" w:styleId="Heading1">
    <w:name w:val="heading 1"/>
    <w:basedOn w:val="Normal"/>
    <w:next w:val="Normal"/>
    <w:link w:val="Heading1Char"/>
    <w:qFormat/>
    <w:pPr>
      <w:keepNext/>
      <w:keepLines/>
      <w:spacing w:before="480" w:after="80" w:line="278" w:lineRule="auto"/>
      <w:jc w:val="left"/>
      <w:outlineLvl w:val="0"/>
    </w:pPr>
    <w:rPr>
      <w:rFonts w:asciiTheme="majorHAnsi" w:eastAsiaTheme="majorEastAsia" w:hAnsiTheme="majorHAnsi" w:cstheme="majorBidi"/>
      <w:color w:val="2F5496" w:themeColor="accent1" w:themeShade="BF"/>
      <w:sz w:val="48"/>
      <w:szCs w:val="48"/>
      <w14:ligatures w14:val="standardContextual"/>
    </w:rPr>
  </w:style>
  <w:style w:type="paragraph" w:styleId="Heading2">
    <w:name w:val="heading 2"/>
    <w:basedOn w:val="Normal"/>
    <w:next w:val="Normal"/>
    <w:link w:val="Heading2Char"/>
    <w:uiPriority w:val="9"/>
    <w:semiHidden/>
    <w:unhideWhenUsed/>
    <w:qFormat/>
    <w:pPr>
      <w:keepNext/>
      <w:keepLines/>
      <w:spacing w:before="160" w:after="80" w:line="278" w:lineRule="auto"/>
      <w:jc w:val="left"/>
      <w:outlineLvl w:val="1"/>
    </w:pPr>
    <w:rPr>
      <w:rFonts w:asciiTheme="majorHAnsi" w:eastAsiaTheme="majorEastAsia" w:hAnsiTheme="majorHAnsi" w:cstheme="majorBidi"/>
      <w:color w:val="2F5496" w:themeColor="accent1" w:themeShade="BF"/>
      <w:sz w:val="40"/>
      <w:szCs w:val="40"/>
      <w14:ligatures w14:val="standardContextual"/>
    </w:rPr>
  </w:style>
  <w:style w:type="paragraph" w:styleId="Heading3">
    <w:name w:val="heading 3"/>
    <w:basedOn w:val="Normal"/>
    <w:next w:val="Normal"/>
    <w:link w:val="Heading3Char"/>
    <w:uiPriority w:val="9"/>
    <w:semiHidden/>
    <w:unhideWhenUsed/>
    <w:qFormat/>
    <w:pPr>
      <w:keepNext/>
      <w:keepLines/>
      <w:spacing w:before="160" w:after="80" w:line="278" w:lineRule="auto"/>
      <w:jc w:val="left"/>
      <w:outlineLvl w:val="2"/>
    </w:pPr>
    <w:rPr>
      <w:rFonts w:asciiTheme="majorHAnsi" w:eastAsiaTheme="majorEastAsia" w:hAnsiTheme="majorHAnsi" w:cstheme="majorBidi"/>
      <w:color w:val="2F5496" w:themeColor="accent1" w:themeShade="BF"/>
      <w:sz w:val="32"/>
      <w:szCs w:val="32"/>
      <w14:ligatures w14:val="standardContextual"/>
    </w:rPr>
  </w:style>
  <w:style w:type="paragraph" w:styleId="Heading4">
    <w:name w:val="heading 4"/>
    <w:basedOn w:val="Normal"/>
    <w:next w:val="Normal"/>
    <w:link w:val="Heading4Char"/>
    <w:uiPriority w:val="9"/>
    <w:semiHidden/>
    <w:unhideWhenUsed/>
    <w:qFormat/>
    <w:pPr>
      <w:keepNext/>
      <w:keepLines/>
      <w:spacing w:before="80" w:after="40" w:line="278" w:lineRule="auto"/>
      <w:jc w:val="left"/>
      <w:outlineLvl w:val="3"/>
    </w:pPr>
    <w:rPr>
      <w:rFonts w:asciiTheme="minorHAnsi" w:eastAsiaTheme="minorEastAsia" w:hAnsiTheme="minorHAnsi" w:cstheme="majorBidi"/>
      <w:color w:val="2F5496" w:themeColor="accent1" w:themeShade="BF"/>
      <w:sz w:val="28"/>
      <w:szCs w:val="28"/>
      <w14:ligatures w14:val="standardContextual"/>
    </w:rPr>
  </w:style>
  <w:style w:type="paragraph" w:styleId="Heading5">
    <w:name w:val="heading 5"/>
    <w:basedOn w:val="Normal"/>
    <w:next w:val="Normal"/>
    <w:link w:val="Heading5Char"/>
    <w:uiPriority w:val="9"/>
    <w:semiHidden/>
    <w:unhideWhenUsed/>
    <w:qFormat/>
    <w:pPr>
      <w:keepNext/>
      <w:keepLines/>
      <w:spacing w:before="80" w:after="40" w:line="278" w:lineRule="auto"/>
      <w:jc w:val="left"/>
      <w:outlineLvl w:val="4"/>
    </w:pPr>
    <w:rPr>
      <w:rFonts w:asciiTheme="minorHAnsi" w:eastAsiaTheme="minorEastAsia" w:hAnsiTheme="minorHAnsi" w:cstheme="majorBidi"/>
      <w:color w:val="2F5496" w:themeColor="accent1" w:themeShade="BF"/>
      <w:sz w:val="24"/>
      <w:szCs w:val="24"/>
      <w14:ligatures w14:val="standardContextual"/>
    </w:rPr>
  </w:style>
  <w:style w:type="paragraph" w:styleId="Heading6">
    <w:name w:val="heading 6"/>
    <w:basedOn w:val="Normal"/>
    <w:next w:val="Normal"/>
    <w:link w:val="Heading6Char"/>
    <w:uiPriority w:val="9"/>
    <w:semiHidden/>
    <w:unhideWhenUsed/>
    <w:qFormat/>
    <w:pPr>
      <w:keepNext/>
      <w:keepLines/>
      <w:spacing w:before="40" w:line="278" w:lineRule="auto"/>
      <w:jc w:val="left"/>
      <w:outlineLvl w:val="5"/>
    </w:pPr>
    <w:rPr>
      <w:rFonts w:asciiTheme="minorHAnsi" w:eastAsiaTheme="minorEastAsia" w:hAnsiTheme="minorHAnsi" w:cstheme="majorBidi"/>
      <w:b/>
      <w:bCs/>
      <w:color w:val="2F5496" w:themeColor="accent1" w:themeShade="BF"/>
      <w:sz w:val="22"/>
      <w:szCs w:val="24"/>
      <w14:ligatures w14:val="standardContextual"/>
    </w:rPr>
  </w:style>
  <w:style w:type="paragraph" w:styleId="Heading7">
    <w:name w:val="heading 7"/>
    <w:basedOn w:val="Normal"/>
    <w:next w:val="Normal"/>
    <w:link w:val="Heading7Char"/>
    <w:uiPriority w:val="9"/>
    <w:semiHidden/>
    <w:unhideWhenUsed/>
    <w:qFormat/>
    <w:pPr>
      <w:keepNext/>
      <w:keepLines/>
      <w:spacing w:before="40" w:line="278" w:lineRule="auto"/>
      <w:jc w:val="left"/>
      <w:outlineLvl w:val="6"/>
    </w:pPr>
    <w:rPr>
      <w:rFonts w:asciiTheme="minorHAnsi" w:eastAsiaTheme="minorEastAsia" w:hAnsiTheme="minorHAnsi" w:cstheme="majorBidi"/>
      <w:b/>
      <w:bCs/>
      <w:color w:val="595959" w:themeColor="text1" w:themeTint="A6"/>
      <w:sz w:val="22"/>
      <w:szCs w:val="24"/>
      <w14:ligatures w14:val="standardContextual"/>
    </w:rPr>
  </w:style>
  <w:style w:type="paragraph" w:styleId="Heading8">
    <w:name w:val="heading 8"/>
    <w:basedOn w:val="Normal"/>
    <w:next w:val="Normal"/>
    <w:link w:val="Heading8Char"/>
    <w:uiPriority w:val="9"/>
    <w:semiHidden/>
    <w:unhideWhenUsed/>
    <w:qFormat/>
    <w:pPr>
      <w:keepNext/>
      <w:keepLines/>
      <w:spacing w:line="278" w:lineRule="auto"/>
      <w:jc w:val="left"/>
      <w:outlineLvl w:val="7"/>
    </w:pPr>
    <w:rPr>
      <w:rFonts w:asciiTheme="minorHAnsi" w:eastAsiaTheme="minorEastAsia" w:hAnsiTheme="minorHAnsi" w:cstheme="majorBidi"/>
      <w:color w:val="595959" w:themeColor="text1" w:themeTint="A6"/>
      <w:sz w:val="22"/>
      <w:szCs w:val="24"/>
      <w14:ligatures w14:val="standardContextual"/>
    </w:rPr>
  </w:style>
  <w:style w:type="paragraph" w:styleId="Heading9">
    <w:name w:val="heading 9"/>
    <w:basedOn w:val="Normal"/>
    <w:next w:val="Normal"/>
    <w:link w:val="Heading9Char"/>
    <w:uiPriority w:val="9"/>
    <w:semiHidden/>
    <w:unhideWhenUsed/>
    <w:qFormat/>
    <w:pPr>
      <w:keepNext/>
      <w:keepLines/>
      <w:spacing w:line="278" w:lineRule="auto"/>
      <w:jc w:val="left"/>
      <w:outlineLvl w:val="8"/>
    </w:pPr>
    <w:rPr>
      <w:rFonts w:asciiTheme="minorHAnsi" w:eastAsiaTheme="majorEastAsia" w:hAnsiTheme="minorHAnsi" w:cstheme="majorBidi"/>
      <w:color w:val="595959" w:themeColor="text1" w:themeTint="A6"/>
      <w:sz w:val="2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qFormat/>
    <w:pPr>
      <w:tabs>
        <w:tab w:val="center" w:pos="4153"/>
        <w:tab w:val="right" w:pos="8306"/>
      </w:tabs>
      <w:snapToGrid w:val="0"/>
      <w:jc w:val="left"/>
    </w:pPr>
    <w:rPr>
      <w:sz w:val="18"/>
      <w:szCs w:val="18"/>
    </w:rPr>
  </w:style>
  <w:style w:type="paragraph" w:styleId="Header">
    <w:name w:val="header"/>
    <w:basedOn w:val="Normal"/>
    <w:link w:val="HeaderChar"/>
    <w:uiPriority w:val="99"/>
    <w:qFormat/>
    <w:pPr>
      <w:pBdr>
        <w:bottom w:val="single" w:sz="6" w:space="1" w:color="auto"/>
      </w:pBdr>
      <w:tabs>
        <w:tab w:val="center" w:pos="4153"/>
        <w:tab w:val="right" w:pos="8306"/>
      </w:tabs>
      <w:snapToGrid w:val="0"/>
      <w:jc w:val="center"/>
    </w:pPr>
    <w:rPr>
      <w:sz w:val="18"/>
      <w:szCs w:val="18"/>
    </w:rPr>
  </w:style>
  <w:style w:type="paragraph" w:styleId="Subtitle">
    <w:name w:val="Subtitle"/>
    <w:basedOn w:val="Normal"/>
    <w:next w:val="Normal"/>
    <w:link w:val="SubtitleChar"/>
    <w:uiPriority w:val="11"/>
    <w:qFormat/>
    <w:pPr>
      <w:spacing w:after="160" w:line="278" w:lineRule="auto"/>
      <w:jc w:val="center"/>
    </w:pPr>
    <w:rPr>
      <w:rFonts w:asciiTheme="majorHAnsi" w:eastAsiaTheme="majorEastAsia" w:hAnsiTheme="majorHAnsi" w:cstheme="majorBidi"/>
      <w:color w:val="595959" w:themeColor="text1" w:themeTint="A6"/>
      <w:spacing w:val="15"/>
      <w:sz w:val="28"/>
      <w:szCs w:val="28"/>
      <w14:ligatures w14:val="standardContextual"/>
    </w:rPr>
  </w:style>
  <w:style w:type="paragraph" w:styleId="Title">
    <w:name w:val="Title"/>
    <w:basedOn w:val="Normal"/>
    <w:next w:val="Normal"/>
    <w:link w:val="TitleChar"/>
    <w:uiPriority w:val="10"/>
    <w:qFormat/>
    <w:pPr>
      <w:spacing w:after="80"/>
      <w:contextualSpacing/>
      <w:jc w:val="center"/>
    </w:pPr>
    <w:rPr>
      <w:rFonts w:asciiTheme="majorHAnsi" w:eastAsiaTheme="majorEastAsia" w:hAnsiTheme="majorHAnsi" w:cstheme="majorBidi"/>
      <w:spacing w:val="-10"/>
      <w:kern w:val="28"/>
      <w:sz w:val="56"/>
      <w:szCs w:val="56"/>
      <w14:ligatures w14:val="standardContextual"/>
    </w:rPr>
  </w:style>
  <w:style w:type="character" w:styleId="LineNumber">
    <w:name w:val="line number"/>
    <w:basedOn w:val="DefaultParagraphFont"/>
    <w:uiPriority w:val="99"/>
    <w:semiHidden/>
    <w:unhideWhenUsed/>
    <w:qFormat/>
  </w:style>
  <w:style w:type="character" w:customStyle="1" w:styleId="Heading1Char">
    <w:name w:val="Heading 1 Char"/>
    <w:basedOn w:val="DefaultParagraphFont"/>
    <w:link w:val="Heading1"/>
    <w:qFormat/>
    <w:rPr>
      <w:rFonts w:asciiTheme="majorHAnsi" w:eastAsiaTheme="majorEastAsia" w:hAnsiTheme="majorHAnsi" w:cstheme="majorBidi"/>
      <w:color w:val="2F5496" w:themeColor="accent1" w:themeShade="BF"/>
      <w:sz w:val="48"/>
      <w:szCs w:val="48"/>
    </w:r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F5496" w:themeColor="accent1" w:themeShade="BF"/>
      <w:sz w:val="40"/>
      <w:szCs w:val="40"/>
    </w:rPr>
  </w:style>
  <w:style w:type="character" w:customStyle="1" w:styleId="Heading3Char">
    <w:name w:val="Heading 3 Char"/>
    <w:basedOn w:val="DefaultParagraphFont"/>
    <w:link w:val="Heading3"/>
    <w:uiPriority w:val="9"/>
    <w:semiHidden/>
    <w:qFormat/>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semiHidden/>
    <w:qFormat/>
    <w:rPr>
      <w:rFonts w:cstheme="majorBidi"/>
      <w:color w:val="2F5496" w:themeColor="accent1" w:themeShade="BF"/>
      <w:sz w:val="28"/>
      <w:szCs w:val="28"/>
    </w:rPr>
  </w:style>
  <w:style w:type="character" w:customStyle="1" w:styleId="Heading5Char">
    <w:name w:val="Heading 5 Char"/>
    <w:basedOn w:val="DefaultParagraphFont"/>
    <w:link w:val="Heading5"/>
    <w:uiPriority w:val="9"/>
    <w:semiHidden/>
    <w:qFormat/>
    <w:rPr>
      <w:rFonts w:cstheme="majorBidi"/>
      <w:color w:val="2F5496" w:themeColor="accent1" w:themeShade="BF"/>
      <w:sz w:val="24"/>
    </w:rPr>
  </w:style>
  <w:style w:type="character" w:customStyle="1" w:styleId="Heading6Char">
    <w:name w:val="Heading 6 Char"/>
    <w:basedOn w:val="DefaultParagraphFont"/>
    <w:link w:val="Heading6"/>
    <w:uiPriority w:val="9"/>
    <w:semiHidden/>
    <w:qFormat/>
    <w:rPr>
      <w:rFonts w:cstheme="majorBidi"/>
      <w:b/>
      <w:bCs/>
      <w:color w:val="2F5496" w:themeColor="accent1" w:themeShade="BF"/>
    </w:rPr>
  </w:style>
  <w:style w:type="character" w:customStyle="1" w:styleId="Heading7Char">
    <w:name w:val="Heading 7 Char"/>
    <w:basedOn w:val="DefaultParagraphFont"/>
    <w:link w:val="Heading7"/>
    <w:uiPriority w:val="9"/>
    <w:semiHidden/>
    <w:qFormat/>
    <w:rPr>
      <w:rFonts w:cstheme="majorBidi"/>
      <w:b/>
      <w:bCs/>
      <w:color w:val="595959" w:themeColor="text1" w:themeTint="A6"/>
    </w:rPr>
  </w:style>
  <w:style w:type="character" w:customStyle="1" w:styleId="Heading8Char">
    <w:name w:val="Heading 8 Char"/>
    <w:basedOn w:val="DefaultParagraphFont"/>
    <w:link w:val="Heading8"/>
    <w:uiPriority w:val="9"/>
    <w:semiHidden/>
    <w:qFormat/>
    <w:rPr>
      <w:rFonts w:cstheme="majorBidi"/>
      <w:color w:val="595959" w:themeColor="text1" w:themeTint="A6"/>
    </w:rPr>
  </w:style>
  <w:style w:type="character" w:customStyle="1" w:styleId="Heading9Char">
    <w:name w:val="Heading 9 Char"/>
    <w:basedOn w:val="DefaultParagraphFont"/>
    <w:link w:val="Heading9"/>
    <w:uiPriority w:val="9"/>
    <w:semiHidden/>
    <w:qFormat/>
    <w:rPr>
      <w:rFonts w:eastAsiaTheme="majorEastAsia" w:cstheme="majorBidi"/>
      <w:color w:val="595959" w:themeColor="text1" w:themeTint="A6"/>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asciiTheme="majorHAnsi" w:eastAsiaTheme="majorEastAsia" w:hAnsiTheme="majorHAnsi"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after="160" w:line="278" w:lineRule="auto"/>
      <w:jc w:val="center"/>
    </w:pPr>
    <w:rPr>
      <w:rFonts w:asciiTheme="minorHAnsi" w:eastAsiaTheme="minorEastAsia" w:hAnsiTheme="minorHAnsi" w:cstheme="minorBidi"/>
      <w:i/>
      <w:iCs/>
      <w:color w:val="404040" w:themeColor="text1" w:themeTint="BF"/>
      <w:sz w:val="22"/>
      <w:szCs w:val="24"/>
      <w14:ligatures w14:val="standardContextual"/>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spacing w:after="160" w:line="278" w:lineRule="auto"/>
      <w:ind w:left="720"/>
      <w:contextualSpacing/>
      <w:jc w:val="left"/>
    </w:pPr>
    <w:rPr>
      <w:rFonts w:asciiTheme="minorHAnsi" w:eastAsiaTheme="minorEastAsia" w:hAnsiTheme="minorHAnsi" w:cstheme="minorBidi"/>
      <w:sz w:val="22"/>
      <w:szCs w:val="24"/>
      <w14:ligatures w14:val="standardContextual"/>
    </w:rPr>
  </w:style>
  <w:style w:type="character" w:customStyle="1" w:styleId="1">
    <w:name w:val="明显强调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EastAsia" w:hAnsiTheme="minorHAnsi" w:cstheme="minorBidi"/>
      <w:i/>
      <w:iCs/>
      <w:color w:val="2F5496" w:themeColor="accent1" w:themeShade="BF"/>
      <w:sz w:val="22"/>
      <w:szCs w:val="24"/>
      <w14:ligatures w14:val="standardContextual"/>
    </w:rPr>
  </w:style>
  <w:style w:type="character" w:customStyle="1" w:styleId="IntenseQuoteChar">
    <w:name w:val="Intense Quote Char"/>
    <w:basedOn w:val="DefaultParagraphFont"/>
    <w:link w:val="IntenseQuote"/>
    <w:uiPriority w:val="30"/>
    <w:qFormat/>
    <w:rPr>
      <w:i/>
      <w:iCs/>
      <w:color w:val="2F5496" w:themeColor="accent1" w:themeShade="BF"/>
    </w:rPr>
  </w:style>
  <w:style w:type="character" w:customStyle="1" w:styleId="10">
    <w:name w:val="明显参考1"/>
    <w:basedOn w:val="DefaultParagraphFont"/>
    <w:uiPriority w:val="32"/>
    <w:qFormat/>
    <w:rPr>
      <w:b/>
      <w:bCs/>
      <w:smallCaps/>
      <w:color w:val="2F5496" w:themeColor="accent1" w:themeShade="BF"/>
      <w:spacing w:val="5"/>
    </w:rPr>
  </w:style>
  <w:style w:type="character" w:customStyle="1" w:styleId="FooterChar">
    <w:name w:val="Footer Char"/>
    <w:basedOn w:val="DefaultParagraphFont"/>
    <w:link w:val="Footer"/>
    <w:uiPriority w:val="99"/>
    <w:qFormat/>
    <w:rPr>
      <w:rFonts w:ascii="Calibri" w:eastAsia="SimSun" w:hAnsi="Calibri" w:cs="SimSun"/>
      <w:sz w:val="18"/>
      <w:szCs w:val="18"/>
      <w14:ligatures w14:val="none"/>
    </w:rPr>
  </w:style>
  <w:style w:type="character" w:customStyle="1" w:styleId="HeaderChar">
    <w:name w:val="Header Char"/>
    <w:basedOn w:val="DefaultParagraphFont"/>
    <w:link w:val="Header"/>
    <w:uiPriority w:val="99"/>
    <w:qFormat/>
    <w:rPr>
      <w:rFonts w:ascii="Calibri" w:eastAsia="SimSun" w:hAnsi="Calibri" w:cs="SimSun"/>
      <w:sz w:val="18"/>
      <w:szCs w:val="18"/>
      <w14:ligatures w14:val="none"/>
    </w:rPr>
  </w:style>
  <w:style w:type="paragraph" w:styleId="Revision">
    <w:name w:val="Revision"/>
    <w:hidden/>
    <w:uiPriority w:val="99"/>
    <w:unhideWhenUsed/>
    <w:rsid w:val="004B1FD0"/>
    <w:rPr>
      <w:rFonts w:ascii="Calibri" w:eastAsia="SimSun" w:hAnsi="Calibri" w:cs="SimSun"/>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footer" Target="footer4.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footer" Target="footer6.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21FED6-04F1-4192-BBD0-261ACD9AD1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3756</Words>
  <Characters>21412</Characters>
  <Application>Microsoft Office Word</Application>
  <DocSecurity>0</DocSecurity>
  <Lines>178</Lines>
  <Paragraphs>50</Paragraphs>
  <ScaleCrop>false</ScaleCrop>
  <Company/>
  <LinksUpToDate>false</LinksUpToDate>
  <CharactersWithSpaces>25118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Spence, Oliver</cp:lastModifiedBy>
  <cp:revision>2</cp:revision>
  <dcterms:created xsi:type="dcterms:W3CDTF">2025-08-26T01:20:00Z</dcterms:created>
  <dcterms:modified xsi:type="dcterms:W3CDTF">2025-08-26T01:20:00Z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eyJoZGlkIjoiMTE0OTA0NjU4ZDQ0NmI4YWIwNTg0MGZmNzUwOTkwYTkiLCJ1c2VySWQiOiI0MjY4Mjg5NzMifQ==</vt:lpwstr>
  </property>
  <property fmtid="{D5CDD505-2E9C-101B-9397-08002B2CF9AE}" pid="3" name="KSOProductBuildVer">
    <vt:lpwstr>2052-12.1.0.21915</vt:lpwstr>
  </property>
  <property fmtid="{D5CDD505-2E9C-101B-9397-08002B2CF9AE}" pid="4" name="ICV">
    <vt:lpwstr>995C7B96A33B425F835830254CF14674_12</vt:lpwstr>
  </property>
  <property fmtid="{D5CDD505-2E9C-101B-9397-08002B2CF9AE}" pid="5" name="ClassificationContentMarkingFooterShapeIds">
    <vt:lpwstr>4e4ef9a3,3da80c70,6372a118,7f9920c4,236ad274,14b8355a</vt:lpwstr>
  </property>
  <property fmtid="{D5CDD505-2E9C-101B-9397-08002B2CF9AE}" pid="6" name="ClassificationContentMarkingFooterFontProps">
    <vt:lpwstr>#0078d7,9,Rockwell</vt:lpwstr>
  </property>
  <property fmtid="{D5CDD505-2E9C-101B-9397-08002B2CF9AE}" pid="7" name="ClassificationContentMarkingFooterText">
    <vt:lpwstr>Information Classification: General</vt:lpwstr>
  </property>
  <property fmtid="{D5CDD505-2E9C-101B-9397-08002B2CF9AE}" pid="8" name="MSIP_Label_2bbab825-a111-45e4-86a1-18cee0005896_Enabled">
    <vt:lpwstr>true</vt:lpwstr>
  </property>
  <property fmtid="{D5CDD505-2E9C-101B-9397-08002B2CF9AE}" pid="9" name="MSIP_Label_2bbab825-a111-45e4-86a1-18cee0005896_SetDate">
    <vt:lpwstr>2025-08-26T01:20:48Z</vt:lpwstr>
  </property>
  <property fmtid="{D5CDD505-2E9C-101B-9397-08002B2CF9AE}" pid="10" name="MSIP_Label_2bbab825-a111-45e4-86a1-18cee0005896_Method">
    <vt:lpwstr>Standard</vt:lpwstr>
  </property>
  <property fmtid="{D5CDD505-2E9C-101B-9397-08002B2CF9AE}" pid="11" name="MSIP_Label_2bbab825-a111-45e4-86a1-18cee0005896_Name">
    <vt:lpwstr>2bbab825-a111-45e4-86a1-18cee0005896</vt:lpwstr>
  </property>
  <property fmtid="{D5CDD505-2E9C-101B-9397-08002B2CF9AE}" pid="12" name="MSIP_Label_2bbab825-a111-45e4-86a1-18cee0005896_SiteId">
    <vt:lpwstr>2567d566-604c-408a-8a60-55d0dc9d9d6b</vt:lpwstr>
  </property>
  <property fmtid="{D5CDD505-2E9C-101B-9397-08002B2CF9AE}" pid="13" name="MSIP_Label_2bbab825-a111-45e4-86a1-18cee0005896_ActionId">
    <vt:lpwstr>59d9b0e6-ad01-41a0-86ce-f47a6d68c534</vt:lpwstr>
  </property>
  <property fmtid="{D5CDD505-2E9C-101B-9397-08002B2CF9AE}" pid="14" name="MSIP_Label_2bbab825-a111-45e4-86a1-18cee0005896_ContentBits">
    <vt:lpwstr>2</vt:lpwstr>
  </property>
  <property fmtid="{D5CDD505-2E9C-101B-9397-08002B2CF9AE}" pid="15" name="MSIP_Label_2bbab825-a111-45e4-86a1-18cee0005896_Tag">
    <vt:lpwstr>10, 3, 0, 1</vt:lpwstr>
  </property>
</Properties>
</file>